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95A3" w14:textId="77777777" w:rsidR="00352729" w:rsidRPr="006775F7" w:rsidRDefault="00362367" w:rsidP="007164F9">
      <w:pPr>
        <w:pStyle w:val="Ttulo2"/>
        <w:keepNext w:val="0"/>
        <w:keepLines w:val="0"/>
        <w:spacing w:after="80"/>
        <w:jc w:val="center"/>
        <w:rPr>
          <w:sz w:val="34"/>
          <w:szCs w:val="34"/>
          <w:lang w:val="es-419"/>
        </w:rPr>
      </w:pPr>
      <w:bookmarkStart w:id="0" w:name="_dcyw6w5oeo38" w:colFirst="0" w:colLast="0"/>
      <w:bookmarkEnd w:id="0"/>
      <w:r w:rsidRPr="006775F7">
        <w:rPr>
          <w:sz w:val="34"/>
          <w:szCs w:val="34"/>
          <w:lang w:val="es-419"/>
        </w:rPr>
        <w:t>ANEXO A1 – Ficha Técnica de Proyecto de Software</w:t>
      </w:r>
    </w:p>
    <w:p w14:paraId="2D9D6715" w14:textId="77777777" w:rsidR="00352729" w:rsidRPr="006775F7" w:rsidRDefault="00352729" w:rsidP="007164F9">
      <w:pPr>
        <w:spacing w:before="240" w:after="240"/>
        <w:rPr>
          <w:lang w:val="es-419"/>
        </w:rPr>
      </w:pPr>
    </w:p>
    <w:p w14:paraId="0A885471" w14:textId="77777777" w:rsidR="00352729" w:rsidRPr="006775F7" w:rsidRDefault="00362367" w:rsidP="007164F9">
      <w:pPr>
        <w:pStyle w:val="Ttulo1"/>
        <w:ind w:right="0"/>
        <w:rPr>
          <w:lang w:val="es-419"/>
        </w:rPr>
      </w:pPr>
      <w:bookmarkStart w:id="1" w:name="_sjohrcj4m9x6" w:colFirst="0" w:colLast="0"/>
      <w:bookmarkEnd w:id="1"/>
      <w:r w:rsidRPr="006775F7">
        <w:rPr>
          <w:lang w:val="es-419"/>
        </w:rPr>
        <w:t xml:space="preserve">1.- Nombre del Proyecto </w:t>
      </w:r>
    </w:p>
    <w:p w14:paraId="2B1C354A" w14:textId="175F0A30" w:rsidR="00352729" w:rsidRPr="006775F7" w:rsidRDefault="00B62AC1" w:rsidP="007164F9">
      <w:pPr>
        <w:rPr>
          <w:lang w:val="es-419"/>
        </w:rPr>
      </w:pPr>
      <w:r w:rsidRPr="006775F7">
        <w:rPr>
          <w:lang w:val="es-419"/>
        </w:rPr>
        <w:t>Base Central</w:t>
      </w:r>
    </w:p>
    <w:p w14:paraId="7435213C" w14:textId="77777777" w:rsidR="00352729" w:rsidRPr="006775F7" w:rsidRDefault="003E20C6" w:rsidP="007164F9">
      <w:pPr>
        <w:pStyle w:val="Ttulo1"/>
        <w:spacing w:before="240"/>
        <w:ind w:right="0"/>
        <w:rPr>
          <w:lang w:val="es-419"/>
        </w:rPr>
      </w:pPr>
      <w:bookmarkStart w:id="2" w:name="_fjh6sry431t7" w:colFirst="0" w:colLast="0"/>
      <w:bookmarkEnd w:id="2"/>
      <w:r w:rsidRPr="006775F7">
        <w:rPr>
          <w:lang w:val="es-419"/>
        </w:rPr>
        <w:t>2.- Descripción General</w:t>
      </w:r>
    </w:p>
    <w:p w14:paraId="6AD97C84" w14:textId="77777777" w:rsidR="00B62AC1" w:rsidRDefault="00B62AC1" w:rsidP="00B62AC1">
      <w:pPr>
        <w:rPr>
          <w:lang w:val="es-419"/>
        </w:rPr>
      </w:pPr>
      <w:r w:rsidRPr="006775F7">
        <w:rPr>
          <w:lang w:val="es-419"/>
        </w:rPr>
        <w:t xml:space="preserve">Base Central es la denominación utilizada para hacer referencia a los módulos que componen el corazón de la información de Comercio Exterior que gestiona la Secretaría General. Dichos módulos son: </w:t>
      </w:r>
    </w:p>
    <w:p w14:paraId="1E64C840" w14:textId="77777777" w:rsidR="005B7954" w:rsidRPr="006775F7" w:rsidRDefault="005B7954" w:rsidP="00B62AC1">
      <w:pPr>
        <w:rPr>
          <w:lang w:val="es-419"/>
        </w:rPr>
      </w:pPr>
    </w:p>
    <w:p w14:paraId="348ACBB1" w14:textId="1149B3FB" w:rsidR="00B62AC1" w:rsidRPr="006775F7" w:rsidRDefault="00B62AC1" w:rsidP="005B7954">
      <w:pPr>
        <w:numPr>
          <w:ilvl w:val="0"/>
          <w:numId w:val="5"/>
        </w:numPr>
        <w:pBdr>
          <w:top w:val="nil"/>
          <w:left w:val="nil"/>
          <w:bottom w:val="nil"/>
          <w:right w:val="nil"/>
          <w:between w:val="nil"/>
        </w:pBdr>
        <w:spacing w:line="240" w:lineRule="auto"/>
        <w:jc w:val="both"/>
        <w:rPr>
          <w:lang w:val="es-419"/>
        </w:rPr>
      </w:pPr>
      <w:r w:rsidRPr="006775F7">
        <w:rPr>
          <w:color w:val="000000"/>
          <w:lang w:val="es-419"/>
        </w:rPr>
        <w:t>Nomenclaturas – contiene la información histórica de códigos y descripciones para clasificar bienes</w:t>
      </w:r>
      <w:r w:rsidR="00895F05" w:rsidRPr="006775F7">
        <w:rPr>
          <w:color w:val="000000"/>
          <w:lang w:val="es-419"/>
        </w:rPr>
        <w:t>. Información por país miembro, regional y ALADI. Datos desde 1984.</w:t>
      </w:r>
    </w:p>
    <w:p w14:paraId="4BB502F7" w14:textId="538A551C" w:rsidR="00B62AC1" w:rsidRPr="006775F7" w:rsidRDefault="00B62AC1" w:rsidP="005B7954">
      <w:pPr>
        <w:numPr>
          <w:ilvl w:val="0"/>
          <w:numId w:val="5"/>
        </w:numPr>
        <w:pBdr>
          <w:top w:val="nil"/>
          <w:left w:val="nil"/>
          <w:bottom w:val="nil"/>
          <w:right w:val="nil"/>
          <w:between w:val="nil"/>
        </w:pBdr>
        <w:spacing w:line="240" w:lineRule="auto"/>
        <w:jc w:val="both"/>
        <w:rPr>
          <w:lang w:val="es-419"/>
        </w:rPr>
      </w:pPr>
      <w:r w:rsidRPr="006775F7">
        <w:rPr>
          <w:color w:val="000000"/>
          <w:lang w:val="es-419"/>
        </w:rPr>
        <w:t>Aranceles – gestiona los datos vigentes e históricos de gravámenes a terceros a nivel de ítem arancelario, y condiciones especiales aplicadas, cuando corresponde</w:t>
      </w:r>
      <w:r w:rsidR="00895F05" w:rsidRPr="006775F7">
        <w:rPr>
          <w:color w:val="000000"/>
          <w:lang w:val="es-419"/>
        </w:rPr>
        <w:t>. Datos desde 1984</w:t>
      </w:r>
    </w:p>
    <w:p w14:paraId="7A3FAA60" w14:textId="7CF00476" w:rsidR="00B62AC1" w:rsidRPr="006775F7" w:rsidRDefault="00B62AC1" w:rsidP="005B7954">
      <w:pPr>
        <w:numPr>
          <w:ilvl w:val="0"/>
          <w:numId w:val="5"/>
        </w:numPr>
        <w:pBdr>
          <w:top w:val="nil"/>
          <w:left w:val="nil"/>
          <w:bottom w:val="nil"/>
          <w:right w:val="nil"/>
          <w:between w:val="nil"/>
        </w:pBdr>
        <w:spacing w:line="240" w:lineRule="auto"/>
        <w:jc w:val="both"/>
        <w:rPr>
          <w:lang w:val="es-419"/>
        </w:rPr>
      </w:pPr>
      <w:r w:rsidRPr="006775F7">
        <w:rPr>
          <w:color w:val="000000"/>
          <w:lang w:val="es-419"/>
        </w:rPr>
        <w:t>Correlaciones – contiene el registro vigente e histórico de las equivalencias de códigos entre las nomenclaturas nacionales y subregionales</w:t>
      </w:r>
      <w:r w:rsidRPr="006775F7">
        <w:rPr>
          <w:lang w:val="es-419"/>
        </w:rPr>
        <w:t xml:space="preserve"> con</w:t>
      </w:r>
      <w:r w:rsidRPr="006775F7">
        <w:rPr>
          <w:color w:val="000000"/>
          <w:lang w:val="es-419"/>
        </w:rPr>
        <w:t xml:space="preserve"> las distintas versiones de la nomenclatura de la ALADI, a nivel de ítem</w:t>
      </w:r>
      <w:r w:rsidR="00895F05" w:rsidRPr="006775F7">
        <w:rPr>
          <w:color w:val="000000"/>
          <w:lang w:val="es-419"/>
        </w:rPr>
        <w:t>. Datos desde 1991.</w:t>
      </w:r>
    </w:p>
    <w:p w14:paraId="77780D3F" w14:textId="1EE81549" w:rsidR="00B62AC1" w:rsidRPr="006775F7" w:rsidRDefault="00B62AC1" w:rsidP="005B7954">
      <w:pPr>
        <w:numPr>
          <w:ilvl w:val="0"/>
          <w:numId w:val="5"/>
        </w:numPr>
        <w:pBdr>
          <w:top w:val="nil"/>
          <w:left w:val="nil"/>
          <w:bottom w:val="nil"/>
          <w:right w:val="nil"/>
          <w:between w:val="nil"/>
        </w:pBdr>
        <w:spacing w:line="240" w:lineRule="auto"/>
        <w:jc w:val="both"/>
        <w:rPr>
          <w:lang w:val="es-419"/>
        </w:rPr>
      </w:pPr>
      <w:r w:rsidRPr="006775F7">
        <w:rPr>
          <w:color w:val="000000"/>
          <w:lang w:val="es-419"/>
        </w:rPr>
        <w:t>Estadísticas de Comercio Exterior – almacena los datos vig</w:t>
      </w:r>
      <w:r w:rsidRPr="006775F7">
        <w:rPr>
          <w:lang w:val="es-419"/>
        </w:rPr>
        <w:t xml:space="preserve">entes e </w:t>
      </w:r>
      <w:r w:rsidRPr="006775F7">
        <w:rPr>
          <w:color w:val="000000"/>
          <w:lang w:val="es-419"/>
        </w:rPr>
        <w:t>históricos de importación y exportación anual y mensual, de los países miembros de ALADI, incluyendo el comercio negociado en los acuerdos suscritos al amparo del TM80</w:t>
      </w:r>
      <w:r w:rsidR="00895F05" w:rsidRPr="006775F7">
        <w:rPr>
          <w:color w:val="000000"/>
          <w:lang w:val="es-419"/>
        </w:rPr>
        <w:t>. Datos desde 1985 (anual) 2010 (mensual).</w:t>
      </w:r>
    </w:p>
    <w:p w14:paraId="53A12B23" w14:textId="0769B0D6" w:rsidR="00B62AC1" w:rsidRPr="006775F7" w:rsidRDefault="00B62AC1" w:rsidP="005B7954">
      <w:pPr>
        <w:numPr>
          <w:ilvl w:val="0"/>
          <w:numId w:val="5"/>
        </w:numPr>
        <w:pBdr>
          <w:top w:val="nil"/>
          <w:left w:val="nil"/>
          <w:bottom w:val="nil"/>
          <w:right w:val="nil"/>
          <w:between w:val="nil"/>
        </w:pBdr>
        <w:spacing w:line="240" w:lineRule="auto"/>
        <w:jc w:val="both"/>
        <w:rPr>
          <w:lang w:val="es-419"/>
        </w:rPr>
      </w:pPr>
      <w:r w:rsidRPr="006775F7">
        <w:rPr>
          <w:color w:val="000000"/>
          <w:lang w:val="es-419"/>
        </w:rPr>
        <w:t>Preferencias – mantiene el registro vigente e histórico de los acuerdos y concesiones otorgadas y recibidas entre países miembros de ALADI, y otros países y regiones.</w:t>
      </w:r>
      <w:r w:rsidR="00942A4F" w:rsidRPr="006775F7">
        <w:rPr>
          <w:color w:val="000000"/>
          <w:lang w:val="es-419"/>
        </w:rPr>
        <w:t xml:space="preserve"> Datos desde 1983</w:t>
      </w:r>
    </w:p>
    <w:p w14:paraId="57F4D4CB" w14:textId="77777777" w:rsidR="00AA6899" w:rsidRDefault="00B62AC1" w:rsidP="00AA6899">
      <w:pPr>
        <w:numPr>
          <w:ilvl w:val="0"/>
          <w:numId w:val="5"/>
        </w:numPr>
        <w:pBdr>
          <w:top w:val="nil"/>
          <w:left w:val="nil"/>
          <w:bottom w:val="nil"/>
          <w:right w:val="nil"/>
          <w:between w:val="nil"/>
        </w:pBdr>
        <w:spacing w:line="240" w:lineRule="auto"/>
        <w:jc w:val="both"/>
        <w:rPr>
          <w:color w:val="000000"/>
          <w:lang w:val="es-419"/>
        </w:rPr>
      </w:pPr>
      <w:r w:rsidRPr="005B7954">
        <w:rPr>
          <w:color w:val="000000"/>
          <w:lang w:val="es-419"/>
        </w:rPr>
        <w:t>Medidas no Arancelarias</w:t>
      </w:r>
      <w:r w:rsidRPr="005B7954">
        <w:rPr>
          <w:color w:val="000000"/>
          <w:vertAlign w:val="superscript"/>
        </w:rPr>
        <w:footnoteReference w:id="1"/>
      </w:r>
      <w:r w:rsidRPr="005B7954">
        <w:rPr>
          <w:color w:val="000000"/>
          <w:vertAlign w:val="superscript"/>
          <w:lang w:val="es-419"/>
        </w:rPr>
        <w:t>-</w:t>
      </w:r>
      <w:r w:rsidRPr="005B7954">
        <w:rPr>
          <w:color w:val="000000"/>
          <w:lang w:val="es-419"/>
        </w:rPr>
        <w:t xml:space="preserve"> administra las normas reguladoras de comercio exterior de los países miembros a nivel de medida e ítem arancelario.</w:t>
      </w:r>
      <w:bookmarkStart w:id="3" w:name="_jdiuqpt3j5g8" w:colFirst="0" w:colLast="0"/>
      <w:bookmarkEnd w:id="3"/>
    </w:p>
    <w:p w14:paraId="60B57E39" w14:textId="77777777" w:rsidR="00AA6899" w:rsidRDefault="00AA6899" w:rsidP="00AA6899">
      <w:pPr>
        <w:pBdr>
          <w:top w:val="nil"/>
          <w:left w:val="nil"/>
          <w:bottom w:val="nil"/>
          <w:right w:val="nil"/>
          <w:between w:val="nil"/>
        </w:pBdr>
        <w:spacing w:line="240" w:lineRule="auto"/>
        <w:jc w:val="both"/>
        <w:rPr>
          <w:color w:val="000000"/>
          <w:lang w:val="es-419"/>
        </w:rPr>
      </w:pPr>
    </w:p>
    <w:p w14:paraId="7BFB8F58" w14:textId="66944204" w:rsidR="00352729" w:rsidRPr="00AA6899" w:rsidRDefault="00362367" w:rsidP="00AA6899">
      <w:pPr>
        <w:pStyle w:val="Ttulo1"/>
        <w:spacing w:before="240"/>
        <w:ind w:right="0"/>
        <w:rPr>
          <w:lang w:val="es-419"/>
        </w:rPr>
      </w:pPr>
      <w:r w:rsidRPr="00AA6899">
        <w:rPr>
          <w:lang w:val="es-419"/>
        </w:rPr>
        <w:t>3.- Objetivo del Proyecto</w:t>
      </w:r>
    </w:p>
    <w:p w14:paraId="1216370E" w14:textId="77777777" w:rsidR="00AA6899" w:rsidRDefault="00AA6899" w:rsidP="005B7954">
      <w:pPr>
        <w:jc w:val="both"/>
        <w:rPr>
          <w:lang w:val="es-419"/>
        </w:rPr>
      </w:pPr>
    </w:p>
    <w:p w14:paraId="02BD334D" w14:textId="2DB84AB1" w:rsidR="00B62AC1" w:rsidRPr="006775F7" w:rsidRDefault="00B62AC1" w:rsidP="005B7954">
      <w:pPr>
        <w:jc w:val="both"/>
        <w:rPr>
          <w:lang w:val="es-419"/>
        </w:rPr>
      </w:pPr>
      <w:r w:rsidRPr="005B7954">
        <w:rPr>
          <w:lang w:val="es-419"/>
        </w:rPr>
        <w:t xml:space="preserve">Rediseñar los 5 módulos inicialmente detallados, los cuales fueron desarrollados </w:t>
      </w:r>
      <w:r w:rsidR="00942A4F" w:rsidRPr="005B7954">
        <w:rPr>
          <w:lang w:val="es-419"/>
        </w:rPr>
        <w:t xml:space="preserve">hace más de 35 años, </w:t>
      </w:r>
      <w:r w:rsidRPr="005B7954">
        <w:rPr>
          <w:lang w:val="es-419"/>
        </w:rPr>
        <w:t>en Cobol sobre un modelo DB2/400, de modo que sus datos puedan ser actualizados, para luego ser extraídos y utilizados en aplicaciones internas o externas.</w:t>
      </w:r>
    </w:p>
    <w:p w14:paraId="677DD2BE" w14:textId="6B5D770A" w:rsidR="00A00BD2" w:rsidRPr="006775F7" w:rsidRDefault="00A00BD2" w:rsidP="00B62AC1">
      <w:pPr>
        <w:rPr>
          <w:lang w:val="es-419"/>
        </w:rPr>
      </w:pPr>
    </w:p>
    <w:p w14:paraId="1693FA57" w14:textId="77777777" w:rsidR="00352729" w:rsidRPr="006775F7" w:rsidRDefault="00362367" w:rsidP="007164F9">
      <w:pPr>
        <w:pStyle w:val="Ttulo1"/>
        <w:spacing w:before="240"/>
        <w:ind w:right="0"/>
        <w:rPr>
          <w:lang w:val="es-419"/>
        </w:rPr>
      </w:pPr>
      <w:bookmarkStart w:id="4" w:name="_yxqq647v1a0m" w:colFirst="0" w:colLast="0"/>
      <w:bookmarkEnd w:id="4"/>
      <w:r w:rsidRPr="006775F7">
        <w:rPr>
          <w:lang w:val="es-419"/>
        </w:rPr>
        <w:t>4.- Alcance Funcional</w:t>
      </w:r>
    </w:p>
    <w:p w14:paraId="45F7A004" w14:textId="420F4C5A" w:rsidR="007164F9" w:rsidRPr="006775F7" w:rsidRDefault="00362367" w:rsidP="007164F9">
      <w:pPr>
        <w:rPr>
          <w:lang w:val="es-419"/>
        </w:rPr>
      </w:pPr>
      <w:r w:rsidRPr="006775F7">
        <w:rPr>
          <w:lang w:val="es-419"/>
        </w:rPr>
        <w:t>Módulos esperados:</w:t>
      </w:r>
      <w:r w:rsidRPr="006775F7">
        <w:rPr>
          <w:lang w:val="es-419"/>
        </w:rPr>
        <w:br/>
      </w:r>
      <w:r w:rsidR="003E20C6" w:rsidRPr="006775F7">
        <w:rPr>
          <w:lang w:val="es-419"/>
        </w:rPr>
        <w:t>N</w:t>
      </w:r>
      <w:r w:rsidRPr="006775F7">
        <w:rPr>
          <w:lang w:val="es-419"/>
        </w:rPr>
        <w:t xml:space="preserve">omenclaturas, </w:t>
      </w:r>
      <w:r w:rsidR="00A00BD2" w:rsidRPr="006775F7">
        <w:rPr>
          <w:lang w:val="es-419"/>
        </w:rPr>
        <w:t xml:space="preserve">Aranceles, </w:t>
      </w:r>
      <w:r w:rsidR="003E20C6" w:rsidRPr="006775F7">
        <w:rPr>
          <w:lang w:val="es-419"/>
        </w:rPr>
        <w:t xml:space="preserve">Correlaciones, </w:t>
      </w:r>
      <w:r w:rsidR="00A00BD2" w:rsidRPr="006775F7">
        <w:rPr>
          <w:lang w:val="es-419"/>
        </w:rPr>
        <w:t>Estadísticas</w:t>
      </w:r>
      <w:r w:rsidR="00B62AC1" w:rsidRPr="006775F7">
        <w:rPr>
          <w:lang w:val="es-419"/>
        </w:rPr>
        <w:t xml:space="preserve"> de Comercio Exterior de Bienes y</w:t>
      </w:r>
      <w:r w:rsidR="00A00BD2" w:rsidRPr="006775F7">
        <w:rPr>
          <w:lang w:val="es-419"/>
        </w:rPr>
        <w:t xml:space="preserve"> Preferencias Arancelarias</w:t>
      </w:r>
      <w:r w:rsidR="005A0AA6" w:rsidRPr="006775F7">
        <w:rPr>
          <w:lang w:val="es-419"/>
        </w:rPr>
        <w:t xml:space="preserve">. </w:t>
      </w:r>
      <w:r w:rsidRPr="006775F7">
        <w:rPr>
          <w:lang w:val="es-419"/>
        </w:rPr>
        <w:br/>
      </w:r>
    </w:p>
    <w:p w14:paraId="0EB925E7" w14:textId="77777777" w:rsidR="0084104A" w:rsidRPr="006775F7" w:rsidRDefault="00362367" w:rsidP="00A00BD2">
      <w:pPr>
        <w:rPr>
          <w:lang w:val="es-419"/>
        </w:rPr>
      </w:pPr>
      <w:r w:rsidRPr="006775F7">
        <w:rPr>
          <w:lang w:val="es-419"/>
        </w:rPr>
        <w:t>Funcionalidades clave</w:t>
      </w:r>
      <w:r w:rsidR="0084104A" w:rsidRPr="006775F7">
        <w:rPr>
          <w:lang w:val="es-419"/>
        </w:rPr>
        <w:t xml:space="preserve"> por módulo</w:t>
      </w:r>
      <w:r w:rsidRPr="006775F7">
        <w:rPr>
          <w:lang w:val="es-419"/>
        </w:rPr>
        <w:t>:</w:t>
      </w:r>
    </w:p>
    <w:p w14:paraId="5CC4E591" w14:textId="77777777" w:rsidR="0084104A" w:rsidRPr="006775F7" w:rsidRDefault="0084104A" w:rsidP="00A00BD2">
      <w:pPr>
        <w:rPr>
          <w:lang w:val="es-419"/>
        </w:rPr>
      </w:pPr>
    </w:p>
    <w:p w14:paraId="2108929F" w14:textId="77777777" w:rsidR="0084104A" w:rsidRPr="006775F7" w:rsidRDefault="0084104A">
      <w:pPr>
        <w:rPr>
          <w:sz w:val="28"/>
          <w:szCs w:val="28"/>
          <w:lang w:val="es-419"/>
        </w:rPr>
      </w:pPr>
      <w:r w:rsidRPr="006775F7">
        <w:rPr>
          <w:sz w:val="28"/>
          <w:szCs w:val="28"/>
          <w:lang w:val="es-419"/>
        </w:rPr>
        <w:br w:type="page"/>
      </w:r>
    </w:p>
    <w:p w14:paraId="08A7DFE5" w14:textId="4CBA457C" w:rsidR="0084104A" w:rsidRPr="006775F7" w:rsidRDefault="0084104A" w:rsidP="0084104A">
      <w:pPr>
        <w:rPr>
          <w:lang w:val="es-419"/>
        </w:rPr>
      </w:pPr>
      <w:r w:rsidRPr="006775F7">
        <w:rPr>
          <w:sz w:val="28"/>
          <w:szCs w:val="28"/>
          <w:lang w:val="es-419"/>
        </w:rPr>
        <w:lastRenderedPageBreak/>
        <w:t>Nomenclaturas</w:t>
      </w:r>
    </w:p>
    <w:p w14:paraId="60ED98CE" w14:textId="77777777" w:rsidR="0084104A" w:rsidRPr="006775F7" w:rsidRDefault="0084104A" w:rsidP="005B7954">
      <w:pPr>
        <w:jc w:val="both"/>
        <w:rPr>
          <w:lang w:val="es-419"/>
        </w:rPr>
      </w:pPr>
    </w:p>
    <w:p w14:paraId="2B44FD1B" w14:textId="77777777" w:rsidR="0084104A" w:rsidRPr="006775F7" w:rsidRDefault="0084104A" w:rsidP="005B7954">
      <w:pPr>
        <w:jc w:val="both"/>
        <w:rPr>
          <w:lang w:val="es-419"/>
        </w:rPr>
      </w:pPr>
      <w:r w:rsidRPr="006775F7">
        <w:rPr>
          <w:lang w:val="es-419"/>
        </w:rPr>
        <w:t>Comprende la información de:</w:t>
      </w:r>
    </w:p>
    <w:p w14:paraId="10AEAF08" w14:textId="77777777" w:rsidR="0084104A" w:rsidRPr="006775F7" w:rsidRDefault="0084104A" w:rsidP="005B7954">
      <w:pPr>
        <w:numPr>
          <w:ilvl w:val="0"/>
          <w:numId w:val="13"/>
        </w:numPr>
        <w:pBdr>
          <w:top w:val="nil"/>
          <w:left w:val="nil"/>
          <w:bottom w:val="nil"/>
          <w:right w:val="nil"/>
          <w:between w:val="nil"/>
        </w:pBdr>
        <w:spacing w:line="259" w:lineRule="auto"/>
        <w:jc w:val="both"/>
        <w:rPr>
          <w:lang w:val="es-419"/>
        </w:rPr>
      </w:pPr>
      <w:r w:rsidRPr="006775F7">
        <w:rPr>
          <w:lang w:val="es-419"/>
        </w:rPr>
        <w:t>Nomenclatura del Sistema Armonizado de Designación y Codificación de Mercancías (SA). La Organización Mundial de Aduanas (OMA) periódicamente publica versiones revisadas del SA (enmiendas) para reflejar los cambios tecnológicos y la aparición de nuevos productos. A partir del año 2022 se encuentra vigente la séptima enmienda del SA.</w:t>
      </w:r>
    </w:p>
    <w:p w14:paraId="187D7E8E" w14:textId="77777777" w:rsidR="0084104A" w:rsidRPr="006775F7" w:rsidRDefault="0084104A" w:rsidP="005B7954">
      <w:pPr>
        <w:numPr>
          <w:ilvl w:val="0"/>
          <w:numId w:val="13"/>
        </w:numPr>
        <w:pBdr>
          <w:top w:val="nil"/>
          <w:left w:val="nil"/>
          <w:bottom w:val="nil"/>
          <w:right w:val="nil"/>
          <w:between w:val="nil"/>
        </w:pBdr>
        <w:spacing w:line="259" w:lineRule="auto"/>
        <w:jc w:val="both"/>
        <w:rPr>
          <w:lang w:val="es-419"/>
        </w:rPr>
      </w:pPr>
      <w:r w:rsidRPr="006775F7">
        <w:rPr>
          <w:color w:val="000000"/>
          <w:lang w:val="es-419"/>
        </w:rPr>
        <w:t xml:space="preserve">Nomenclaturas arancelarias de los países miembros, </w:t>
      </w:r>
    </w:p>
    <w:p w14:paraId="216CCD5A" w14:textId="77777777" w:rsidR="0084104A" w:rsidRPr="006775F7" w:rsidRDefault="0084104A" w:rsidP="005B7954">
      <w:pPr>
        <w:numPr>
          <w:ilvl w:val="0"/>
          <w:numId w:val="13"/>
        </w:numPr>
        <w:pBdr>
          <w:top w:val="nil"/>
          <w:left w:val="nil"/>
          <w:bottom w:val="nil"/>
          <w:right w:val="nil"/>
          <w:between w:val="nil"/>
        </w:pBdr>
        <w:spacing w:line="259" w:lineRule="auto"/>
        <w:jc w:val="both"/>
        <w:rPr>
          <w:lang w:val="es-419"/>
        </w:rPr>
      </w:pPr>
      <w:r w:rsidRPr="006775F7">
        <w:rPr>
          <w:color w:val="000000"/>
          <w:lang w:val="es-419"/>
        </w:rPr>
        <w:t>Nomenclaturas arancelarias de países de Centroamérica,</w:t>
      </w:r>
    </w:p>
    <w:p w14:paraId="660EBF46" w14:textId="77777777" w:rsidR="0084104A" w:rsidRPr="006775F7" w:rsidRDefault="0084104A" w:rsidP="005B7954">
      <w:pPr>
        <w:numPr>
          <w:ilvl w:val="0"/>
          <w:numId w:val="13"/>
        </w:numPr>
        <w:pBdr>
          <w:top w:val="nil"/>
          <w:left w:val="nil"/>
          <w:bottom w:val="nil"/>
          <w:right w:val="nil"/>
          <w:between w:val="nil"/>
        </w:pBdr>
        <w:spacing w:line="259" w:lineRule="auto"/>
        <w:jc w:val="both"/>
        <w:rPr>
          <w:lang w:val="es-419"/>
        </w:rPr>
      </w:pPr>
      <w:r w:rsidRPr="006775F7">
        <w:rPr>
          <w:color w:val="000000"/>
          <w:lang w:val="es-419"/>
        </w:rPr>
        <w:t>Nomenclaturas arancelarias subregionales (MERCOSUR y Comunidad Andina) y</w:t>
      </w:r>
    </w:p>
    <w:p w14:paraId="5ECCC881" w14:textId="77777777" w:rsidR="0084104A" w:rsidRPr="006775F7" w:rsidRDefault="0084104A" w:rsidP="005B7954">
      <w:pPr>
        <w:numPr>
          <w:ilvl w:val="0"/>
          <w:numId w:val="13"/>
        </w:numPr>
        <w:pBdr>
          <w:top w:val="nil"/>
          <w:left w:val="nil"/>
          <w:bottom w:val="nil"/>
          <w:right w:val="nil"/>
          <w:between w:val="nil"/>
        </w:pBdr>
        <w:spacing w:line="259" w:lineRule="auto"/>
        <w:jc w:val="both"/>
        <w:rPr>
          <w:lang w:val="es-419"/>
        </w:rPr>
      </w:pPr>
      <w:r w:rsidRPr="006775F7">
        <w:rPr>
          <w:color w:val="000000"/>
          <w:lang w:val="es-419"/>
        </w:rPr>
        <w:t xml:space="preserve">Nomenclatura regional: NALADI en su versión 1983 y NALADISA, para las distintas versiones </w:t>
      </w:r>
      <w:r w:rsidRPr="006775F7">
        <w:rPr>
          <w:lang w:val="es-419"/>
        </w:rPr>
        <w:t>expresadas</w:t>
      </w:r>
      <w:r w:rsidRPr="006775F7">
        <w:rPr>
          <w:color w:val="000000"/>
          <w:lang w:val="es-419"/>
        </w:rPr>
        <w:t xml:space="preserve"> en </w:t>
      </w:r>
      <w:r w:rsidRPr="006775F7">
        <w:rPr>
          <w:lang w:val="es-419"/>
        </w:rPr>
        <w:t xml:space="preserve">SA. </w:t>
      </w:r>
    </w:p>
    <w:p w14:paraId="7134E22A" w14:textId="77777777" w:rsidR="0084104A" w:rsidRPr="006775F7" w:rsidRDefault="0084104A" w:rsidP="0084104A">
      <w:pPr>
        <w:pBdr>
          <w:top w:val="nil"/>
          <w:left w:val="nil"/>
          <w:bottom w:val="nil"/>
          <w:right w:val="nil"/>
          <w:between w:val="nil"/>
        </w:pBdr>
        <w:ind w:left="360"/>
        <w:rPr>
          <w:color w:val="000000"/>
          <w:lang w:val="es-419"/>
        </w:rPr>
      </w:pPr>
    </w:p>
    <w:p w14:paraId="14D55547" w14:textId="77777777" w:rsidR="0084104A" w:rsidRPr="006775F7" w:rsidRDefault="0084104A" w:rsidP="005B7954">
      <w:pPr>
        <w:numPr>
          <w:ilvl w:val="0"/>
          <w:numId w:val="11"/>
        </w:numPr>
        <w:pBdr>
          <w:top w:val="nil"/>
          <w:left w:val="nil"/>
          <w:bottom w:val="nil"/>
          <w:right w:val="nil"/>
          <w:between w:val="nil"/>
        </w:pBdr>
        <w:spacing w:line="259" w:lineRule="auto"/>
        <w:jc w:val="both"/>
        <w:rPr>
          <w:lang w:val="es-419"/>
        </w:rPr>
      </w:pPr>
      <w:r w:rsidRPr="006775F7">
        <w:rPr>
          <w:color w:val="000000"/>
          <w:lang w:val="es-419"/>
        </w:rPr>
        <w:t xml:space="preserve">Las actualizaciones se realizan sobre la información vigente y se deben registrar todos los cambios, de modo de poder consultar datos históricos. </w:t>
      </w:r>
    </w:p>
    <w:p w14:paraId="57354D8C" w14:textId="77777777" w:rsidR="0084104A" w:rsidRPr="006775F7" w:rsidRDefault="0084104A" w:rsidP="005B7954">
      <w:pPr>
        <w:pBdr>
          <w:top w:val="nil"/>
          <w:left w:val="nil"/>
          <w:bottom w:val="nil"/>
          <w:right w:val="nil"/>
          <w:between w:val="nil"/>
        </w:pBdr>
        <w:ind w:left="360"/>
        <w:jc w:val="both"/>
        <w:rPr>
          <w:color w:val="000000"/>
          <w:lang w:val="es-419"/>
        </w:rPr>
      </w:pPr>
    </w:p>
    <w:p w14:paraId="32ECDC03" w14:textId="76C81597" w:rsidR="0084104A" w:rsidRPr="006775F7" w:rsidRDefault="0084104A" w:rsidP="005B7954">
      <w:pPr>
        <w:numPr>
          <w:ilvl w:val="0"/>
          <w:numId w:val="11"/>
        </w:numPr>
        <w:pBdr>
          <w:top w:val="nil"/>
          <w:left w:val="nil"/>
          <w:bottom w:val="nil"/>
          <w:right w:val="nil"/>
          <w:between w:val="nil"/>
        </w:pBdr>
        <w:spacing w:line="259" w:lineRule="auto"/>
        <w:jc w:val="both"/>
        <w:rPr>
          <w:lang w:val="es-419"/>
        </w:rPr>
      </w:pPr>
      <w:r w:rsidRPr="006775F7">
        <w:rPr>
          <w:lang w:val="es-419"/>
        </w:rPr>
        <w:t>La estructura del SA es jerárquica y comprende: capítulo (primeros 2 dígitos), partida (4 dígitos, donde los 2 primeros refieren al capítulo) y subpartida (6 dígitos, donde los 4 primeros corresponden a la partida).</w:t>
      </w:r>
    </w:p>
    <w:p w14:paraId="39F9EED3" w14:textId="77777777" w:rsidR="0084104A" w:rsidRPr="006775F7" w:rsidRDefault="0084104A" w:rsidP="005B7954">
      <w:pPr>
        <w:pBdr>
          <w:top w:val="nil"/>
          <w:left w:val="nil"/>
          <w:bottom w:val="nil"/>
          <w:right w:val="nil"/>
          <w:between w:val="nil"/>
        </w:pBdr>
        <w:jc w:val="both"/>
        <w:rPr>
          <w:lang w:val="es-419"/>
        </w:rPr>
      </w:pPr>
    </w:p>
    <w:p w14:paraId="444BF250" w14:textId="4D9FF949" w:rsidR="0084104A" w:rsidRPr="006775F7" w:rsidRDefault="0084104A" w:rsidP="005B7954">
      <w:pPr>
        <w:numPr>
          <w:ilvl w:val="0"/>
          <w:numId w:val="11"/>
        </w:numPr>
        <w:pBdr>
          <w:top w:val="nil"/>
          <w:left w:val="nil"/>
          <w:bottom w:val="nil"/>
          <w:right w:val="nil"/>
          <w:between w:val="nil"/>
        </w:pBdr>
        <w:spacing w:line="259" w:lineRule="auto"/>
        <w:jc w:val="both"/>
        <w:rPr>
          <w:lang w:val="es-419"/>
        </w:rPr>
      </w:pPr>
      <w:r w:rsidRPr="006775F7">
        <w:rPr>
          <w:color w:val="000000"/>
          <w:lang w:val="es-419"/>
        </w:rPr>
        <w:t xml:space="preserve">Los datos de una </w:t>
      </w:r>
      <w:r w:rsidRPr="006775F7">
        <w:rPr>
          <w:lang w:val="es-419"/>
        </w:rPr>
        <w:t xml:space="preserve">Nomenclatura arancelaria nacional o subregional </w:t>
      </w:r>
      <w:r w:rsidRPr="006775F7">
        <w:rPr>
          <w:color w:val="000000"/>
          <w:lang w:val="es-419"/>
        </w:rPr>
        <w:t>están basados en el SA en la enmienda correspondiente, y están estructurad</w:t>
      </w:r>
      <w:r w:rsidRPr="006775F7">
        <w:rPr>
          <w:lang w:val="es-419"/>
        </w:rPr>
        <w:t>os</w:t>
      </w:r>
      <w:r w:rsidRPr="006775F7">
        <w:rPr>
          <w:color w:val="000000"/>
          <w:lang w:val="es-419"/>
        </w:rPr>
        <w:t xml:space="preserve"> de manera jerárquica en capítulos, partidas (también denominadas </w:t>
      </w:r>
      <w:r w:rsidRPr="006775F7">
        <w:rPr>
          <w:lang w:val="es-419"/>
        </w:rPr>
        <w:t>p</w:t>
      </w:r>
      <w:r w:rsidRPr="006775F7">
        <w:rPr>
          <w:color w:val="000000"/>
          <w:lang w:val="es-419"/>
        </w:rPr>
        <w:t xml:space="preserve">osiciones), aperturas (o títulos intermedios) e ítem, por lo cual resulta de utilidad la representación en formato de árbol de nomenclaturas. Cabe señalar </w:t>
      </w:r>
      <w:r w:rsidRPr="006775F7">
        <w:rPr>
          <w:lang w:val="es-419"/>
        </w:rPr>
        <w:t>que</w:t>
      </w:r>
      <w:r w:rsidRPr="006775F7">
        <w:rPr>
          <w:color w:val="000000"/>
          <w:lang w:val="es-419"/>
        </w:rPr>
        <w:t xml:space="preserve"> los cap</w:t>
      </w:r>
      <w:r w:rsidRPr="006775F7">
        <w:rPr>
          <w:lang w:val="es-419"/>
        </w:rPr>
        <w:t>ítulos se representan con 2 dígitos, las partidas con 4 dígitos (los 2 primeros corresponden al capítulo), las aperturas pueden variar entre 5 y 11 dígitos, dependiendo del largo del código del ítem (los 4 primeros corresponden a la partida). Los códigos de ítem de los distintos países tienen diferente largo: 8, 10 o 12 dígitos. Al momento de ingresar información, es importante tener en cuenta las validaciones a nivel de 6 dígitos contra el SA vigente, así como las relativas a la estructura jerárquica de la nomenclatura.</w:t>
      </w:r>
    </w:p>
    <w:p w14:paraId="309BC2DA" w14:textId="77777777" w:rsidR="0084104A" w:rsidRPr="006775F7" w:rsidRDefault="0084104A" w:rsidP="005B7954">
      <w:pPr>
        <w:pBdr>
          <w:top w:val="nil"/>
          <w:left w:val="nil"/>
          <w:bottom w:val="nil"/>
          <w:right w:val="nil"/>
          <w:between w:val="nil"/>
        </w:pBdr>
        <w:ind w:left="360"/>
        <w:jc w:val="both"/>
        <w:rPr>
          <w:lang w:val="es-419"/>
        </w:rPr>
      </w:pPr>
    </w:p>
    <w:p w14:paraId="628EEC3A" w14:textId="4B901DD7" w:rsidR="0084104A" w:rsidRPr="006775F7" w:rsidRDefault="0084104A" w:rsidP="005B7954">
      <w:pPr>
        <w:numPr>
          <w:ilvl w:val="0"/>
          <w:numId w:val="11"/>
        </w:numPr>
        <w:pBdr>
          <w:top w:val="nil"/>
          <w:left w:val="nil"/>
          <w:bottom w:val="nil"/>
          <w:right w:val="nil"/>
          <w:between w:val="nil"/>
        </w:pBdr>
        <w:spacing w:line="259" w:lineRule="auto"/>
        <w:jc w:val="both"/>
        <w:rPr>
          <w:lang w:val="es-419"/>
        </w:rPr>
      </w:pPr>
      <w:r w:rsidRPr="006775F7">
        <w:rPr>
          <w:lang w:val="es-419"/>
        </w:rPr>
        <w:t>Respecto de la Nomenclatura regional (NALADISA), su estructura también está basada en el SA y es jerárquica. Cuenta con capítulos, partidas, aperturas, y los códigos de los ítems son de largo 8.</w:t>
      </w:r>
      <w:r w:rsidR="00A349B0" w:rsidRPr="006775F7">
        <w:rPr>
          <w:lang w:val="es-419"/>
        </w:rPr>
        <w:t xml:space="preserve"> Tanto en el caso del Sistema Armonizado como de la NALADISA, y de las nomenclaturas nacionales, cada código </w:t>
      </w:r>
      <w:r w:rsidR="00C93E33" w:rsidRPr="006775F7">
        <w:rPr>
          <w:lang w:val="es-419"/>
        </w:rPr>
        <w:t xml:space="preserve">(capítulo, partida, apertura, etc.) </w:t>
      </w:r>
      <w:r w:rsidR="00A349B0" w:rsidRPr="006775F7">
        <w:rPr>
          <w:lang w:val="es-419"/>
        </w:rPr>
        <w:t>tiene asociada una descripción.</w:t>
      </w:r>
      <w:r w:rsidR="00C93E33" w:rsidRPr="006775F7">
        <w:rPr>
          <w:lang w:val="es-419"/>
        </w:rPr>
        <w:t xml:space="preserve"> Para el caso del SA, la NALADISA, la NCM (Nomenclatura </w:t>
      </w:r>
      <w:r w:rsidR="00CB4345" w:rsidRPr="006775F7">
        <w:rPr>
          <w:lang w:val="es-419"/>
        </w:rPr>
        <w:t>Común del Mercosur) las descripciones están en español y portugués.</w:t>
      </w:r>
      <w:r w:rsidR="00A349B0" w:rsidRPr="006775F7">
        <w:rPr>
          <w:lang w:val="es-419"/>
        </w:rPr>
        <w:t xml:space="preserve"> </w:t>
      </w:r>
    </w:p>
    <w:p w14:paraId="20094E68" w14:textId="77777777" w:rsidR="0084104A" w:rsidRPr="006775F7" w:rsidRDefault="0084104A" w:rsidP="005B7954">
      <w:pPr>
        <w:pBdr>
          <w:top w:val="nil"/>
          <w:left w:val="nil"/>
          <w:bottom w:val="nil"/>
          <w:right w:val="nil"/>
          <w:between w:val="nil"/>
        </w:pBdr>
        <w:ind w:left="360"/>
        <w:jc w:val="both"/>
        <w:rPr>
          <w:lang w:val="es-419"/>
        </w:rPr>
      </w:pPr>
    </w:p>
    <w:p w14:paraId="20119D63" w14:textId="77777777" w:rsidR="0084104A" w:rsidRPr="006775F7" w:rsidRDefault="0084104A" w:rsidP="005B7954">
      <w:pPr>
        <w:numPr>
          <w:ilvl w:val="0"/>
          <w:numId w:val="11"/>
        </w:numPr>
        <w:pBdr>
          <w:top w:val="nil"/>
          <w:left w:val="nil"/>
          <w:bottom w:val="nil"/>
          <w:right w:val="nil"/>
          <w:between w:val="nil"/>
        </w:pBdr>
        <w:spacing w:line="259" w:lineRule="auto"/>
        <w:jc w:val="both"/>
        <w:rPr>
          <w:lang w:val="es-419"/>
        </w:rPr>
      </w:pPr>
      <w:r w:rsidRPr="006775F7">
        <w:rPr>
          <w:color w:val="000000"/>
          <w:lang w:val="es-419"/>
        </w:rPr>
        <w:t>Procesos puntuales:</w:t>
      </w:r>
    </w:p>
    <w:p w14:paraId="5ECF9BE1" w14:textId="50A9A818" w:rsidR="0084104A" w:rsidRPr="006775F7" w:rsidRDefault="0084104A" w:rsidP="005B7954">
      <w:pPr>
        <w:pBdr>
          <w:top w:val="nil"/>
          <w:left w:val="nil"/>
          <w:bottom w:val="nil"/>
          <w:right w:val="nil"/>
          <w:between w:val="nil"/>
        </w:pBdr>
        <w:ind w:left="360"/>
        <w:jc w:val="both"/>
        <w:rPr>
          <w:color w:val="000000"/>
          <w:lang w:val="es-419"/>
        </w:rPr>
      </w:pPr>
      <w:r w:rsidRPr="006775F7">
        <w:rPr>
          <w:color w:val="000000"/>
          <w:lang w:val="es-419"/>
        </w:rPr>
        <w:t xml:space="preserve">Son los requeridos para actualizar </w:t>
      </w:r>
      <w:r w:rsidR="004961FB" w:rsidRPr="006775F7">
        <w:rPr>
          <w:color w:val="000000"/>
          <w:lang w:val="es-419"/>
        </w:rPr>
        <w:t xml:space="preserve">(altas, bajas y modificaciones) </w:t>
      </w:r>
      <w:r w:rsidRPr="006775F7">
        <w:rPr>
          <w:color w:val="000000"/>
          <w:lang w:val="es-419"/>
        </w:rPr>
        <w:t xml:space="preserve">información vigente a nivel de capítulo, partida, apertura o ítem.  </w:t>
      </w:r>
    </w:p>
    <w:p w14:paraId="5D9BFA6D" w14:textId="77777777" w:rsidR="0084104A" w:rsidRPr="006775F7" w:rsidRDefault="0084104A" w:rsidP="005B7954">
      <w:pPr>
        <w:pBdr>
          <w:top w:val="nil"/>
          <w:left w:val="nil"/>
          <w:bottom w:val="nil"/>
          <w:right w:val="nil"/>
          <w:between w:val="nil"/>
        </w:pBdr>
        <w:ind w:left="360"/>
        <w:jc w:val="both"/>
        <w:rPr>
          <w:color w:val="000000"/>
          <w:lang w:val="es-419"/>
        </w:rPr>
      </w:pPr>
    </w:p>
    <w:p w14:paraId="39777162" w14:textId="1B900759" w:rsidR="00E63E0E" w:rsidRPr="006775F7" w:rsidRDefault="00E63E0E" w:rsidP="005B7954">
      <w:pPr>
        <w:pBdr>
          <w:top w:val="nil"/>
          <w:left w:val="nil"/>
          <w:bottom w:val="nil"/>
          <w:right w:val="nil"/>
          <w:between w:val="nil"/>
        </w:pBdr>
        <w:ind w:left="360"/>
        <w:jc w:val="both"/>
        <w:rPr>
          <w:color w:val="000000"/>
          <w:lang w:val="es-419"/>
        </w:rPr>
      </w:pPr>
      <w:r w:rsidRPr="006775F7">
        <w:rPr>
          <w:color w:val="000000"/>
          <w:lang w:val="es-419"/>
        </w:rPr>
        <w:t>Toda modificación de una Nomenclatura arancelaria nacional</w:t>
      </w:r>
      <w:r w:rsidRPr="006775F7">
        <w:rPr>
          <w:lang w:val="es-419"/>
        </w:rPr>
        <w:t xml:space="preserve"> o subregional </w:t>
      </w:r>
      <w:r w:rsidRPr="006775F7">
        <w:rPr>
          <w:color w:val="000000"/>
          <w:lang w:val="es-419"/>
        </w:rPr>
        <w:t>refiere a un país o subregión, y tiene fecha de entrada en vigor (o año en el caso de la NALADISA), y datos de disposición y documento fuente.</w:t>
      </w:r>
    </w:p>
    <w:p w14:paraId="43E312D2" w14:textId="77777777" w:rsidR="0084104A" w:rsidRPr="006775F7" w:rsidRDefault="0084104A" w:rsidP="005B7954">
      <w:pPr>
        <w:numPr>
          <w:ilvl w:val="0"/>
          <w:numId w:val="11"/>
        </w:numPr>
        <w:pBdr>
          <w:top w:val="nil"/>
          <w:left w:val="nil"/>
          <w:bottom w:val="nil"/>
          <w:right w:val="nil"/>
          <w:between w:val="nil"/>
        </w:pBdr>
        <w:spacing w:line="259" w:lineRule="auto"/>
        <w:jc w:val="both"/>
        <w:rPr>
          <w:lang w:val="es-419"/>
        </w:rPr>
      </w:pPr>
      <w:r w:rsidRPr="006775F7">
        <w:rPr>
          <w:color w:val="000000"/>
          <w:lang w:val="es-419"/>
        </w:rPr>
        <w:t xml:space="preserve">Procesos masivos: </w:t>
      </w:r>
    </w:p>
    <w:p w14:paraId="7955D95A" w14:textId="77777777" w:rsidR="0084104A" w:rsidRPr="006775F7" w:rsidRDefault="0084104A" w:rsidP="005B7954">
      <w:pPr>
        <w:pBdr>
          <w:top w:val="nil"/>
          <w:left w:val="nil"/>
          <w:bottom w:val="nil"/>
          <w:right w:val="nil"/>
          <w:between w:val="nil"/>
        </w:pBdr>
        <w:ind w:left="720"/>
        <w:jc w:val="both"/>
        <w:rPr>
          <w:color w:val="000000"/>
          <w:lang w:val="es-419"/>
        </w:rPr>
      </w:pPr>
    </w:p>
    <w:p w14:paraId="6D805471" w14:textId="2E3D555C" w:rsidR="0084104A" w:rsidRPr="006775F7" w:rsidRDefault="0084104A" w:rsidP="005B7954">
      <w:pPr>
        <w:numPr>
          <w:ilvl w:val="0"/>
          <w:numId w:val="12"/>
        </w:numPr>
        <w:pBdr>
          <w:top w:val="nil"/>
          <w:left w:val="nil"/>
          <w:bottom w:val="nil"/>
          <w:right w:val="nil"/>
          <w:between w:val="nil"/>
        </w:pBdr>
        <w:spacing w:line="259" w:lineRule="auto"/>
        <w:jc w:val="both"/>
        <w:rPr>
          <w:lang w:val="es-419"/>
        </w:rPr>
      </w:pPr>
      <w:r w:rsidRPr="006775F7">
        <w:rPr>
          <w:color w:val="000000"/>
          <w:lang w:val="es-419"/>
        </w:rPr>
        <w:t xml:space="preserve">Aproximadamente, cada 5 años se produce un cambio de enmienda del SA, lo que implica la derogación de </w:t>
      </w:r>
      <w:r w:rsidR="005E2847" w:rsidRPr="006775F7">
        <w:rPr>
          <w:color w:val="000000"/>
          <w:lang w:val="es-419"/>
        </w:rPr>
        <w:t xml:space="preserve">todos </w:t>
      </w:r>
      <w:r w:rsidRPr="006775F7">
        <w:rPr>
          <w:color w:val="000000"/>
          <w:lang w:val="es-419"/>
        </w:rPr>
        <w:t xml:space="preserve">los códigos de la nomenclatura en la enmienda anterior, y la puesta en vigor de los códigos de la nueva enmienda.  </w:t>
      </w:r>
    </w:p>
    <w:p w14:paraId="6F3471E7" w14:textId="77777777" w:rsidR="0084104A" w:rsidRPr="006775F7" w:rsidRDefault="0084104A" w:rsidP="005B7954">
      <w:pPr>
        <w:numPr>
          <w:ilvl w:val="0"/>
          <w:numId w:val="12"/>
        </w:numPr>
        <w:pBdr>
          <w:top w:val="nil"/>
          <w:left w:val="nil"/>
          <w:bottom w:val="nil"/>
          <w:right w:val="nil"/>
          <w:between w:val="nil"/>
        </w:pBdr>
        <w:spacing w:after="160" w:line="259" w:lineRule="auto"/>
        <w:jc w:val="both"/>
        <w:rPr>
          <w:lang w:val="es-419"/>
        </w:rPr>
      </w:pPr>
      <w:r w:rsidRPr="006775F7">
        <w:rPr>
          <w:color w:val="000000"/>
          <w:lang w:val="es-419"/>
        </w:rPr>
        <w:lastRenderedPageBreak/>
        <w:t xml:space="preserve">Asimismo, se debe contemplar que un país puede requerir cambios en un subconjunto del universo de bienes que componen su nomenclatura vigente. </w:t>
      </w:r>
    </w:p>
    <w:p w14:paraId="4A0298B0" w14:textId="77777777" w:rsidR="0084104A" w:rsidRPr="006775F7" w:rsidRDefault="0084104A" w:rsidP="0084104A">
      <w:pPr>
        <w:ind w:left="360"/>
        <w:rPr>
          <w:lang w:val="es-419"/>
        </w:rPr>
      </w:pPr>
    </w:p>
    <w:p w14:paraId="60A875D2" w14:textId="77777777" w:rsidR="0084104A" w:rsidRPr="006775F7" w:rsidRDefault="0084104A" w:rsidP="0084104A">
      <w:pPr>
        <w:numPr>
          <w:ilvl w:val="0"/>
          <w:numId w:val="11"/>
        </w:numPr>
        <w:spacing w:line="259" w:lineRule="auto"/>
        <w:rPr>
          <w:lang w:val="es-419"/>
        </w:rPr>
      </w:pPr>
      <w:r w:rsidRPr="006775F7">
        <w:rPr>
          <w:lang w:val="es-419"/>
        </w:rPr>
        <w:t xml:space="preserve">Consultas: </w:t>
      </w:r>
    </w:p>
    <w:p w14:paraId="39BCE9FB" w14:textId="77777777" w:rsidR="0084104A" w:rsidRPr="006775F7" w:rsidRDefault="0084104A" w:rsidP="0084104A">
      <w:pPr>
        <w:ind w:left="360"/>
        <w:rPr>
          <w:lang w:val="es-419"/>
        </w:rPr>
      </w:pPr>
    </w:p>
    <w:p w14:paraId="1F692338" w14:textId="4B0348B0" w:rsidR="0084104A" w:rsidRPr="006775F7" w:rsidRDefault="0084104A" w:rsidP="005B7954">
      <w:pPr>
        <w:ind w:left="360"/>
        <w:jc w:val="both"/>
        <w:rPr>
          <w:lang w:val="es-419"/>
        </w:rPr>
      </w:pPr>
      <w:r w:rsidRPr="006775F7">
        <w:rPr>
          <w:lang w:val="es-419"/>
        </w:rPr>
        <w:t>Para un país</w:t>
      </w:r>
      <w:r w:rsidR="005E2847" w:rsidRPr="006775F7">
        <w:rPr>
          <w:lang w:val="es-419"/>
        </w:rPr>
        <w:t>, subregión o región</w:t>
      </w:r>
      <w:r w:rsidRPr="006775F7">
        <w:rPr>
          <w:lang w:val="es-419"/>
        </w:rPr>
        <w:t xml:space="preserve"> y fecha de vigencia se requiere presentación en pantalla y descarga a CSV y Excel</w:t>
      </w:r>
      <w:r w:rsidR="005E2847" w:rsidRPr="006775F7">
        <w:rPr>
          <w:lang w:val="es-419"/>
        </w:rPr>
        <w:t xml:space="preserve"> de los códigos y descripciones vigentes a la fecha dada</w:t>
      </w:r>
      <w:r w:rsidRPr="006775F7">
        <w:rPr>
          <w:lang w:val="es-419"/>
        </w:rPr>
        <w:t>.</w:t>
      </w:r>
    </w:p>
    <w:p w14:paraId="1F78D770" w14:textId="77777777" w:rsidR="0084104A" w:rsidRPr="006775F7" w:rsidRDefault="0084104A" w:rsidP="0084104A">
      <w:pPr>
        <w:pBdr>
          <w:top w:val="nil"/>
          <w:left w:val="nil"/>
          <w:bottom w:val="nil"/>
          <w:right w:val="nil"/>
          <w:between w:val="nil"/>
        </w:pBdr>
        <w:ind w:left="720"/>
        <w:rPr>
          <w:lang w:val="es-419"/>
        </w:rPr>
      </w:pPr>
    </w:p>
    <w:p w14:paraId="7C42EBF1" w14:textId="77777777" w:rsidR="005E2847" w:rsidRPr="006775F7" w:rsidRDefault="005E2847" w:rsidP="0084104A">
      <w:pPr>
        <w:pBdr>
          <w:top w:val="nil"/>
          <w:left w:val="nil"/>
          <w:bottom w:val="nil"/>
          <w:right w:val="nil"/>
          <w:between w:val="nil"/>
        </w:pBdr>
        <w:ind w:left="720"/>
        <w:rPr>
          <w:lang w:val="es-419"/>
        </w:rPr>
      </w:pPr>
    </w:p>
    <w:p w14:paraId="79EDB116" w14:textId="77777777" w:rsidR="0084104A" w:rsidRPr="006775F7" w:rsidRDefault="0084104A" w:rsidP="0084104A">
      <w:pPr>
        <w:rPr>
          <w:lang w:val="es-419"/>
        </w:rPr>
      </w:pPr>
      <w:r w:rsidRPr="006775F7">
        <w:rPr>
          <w:sz w:val="28"/>
          <w:szCs w:val="28"/>
          <w:lang w:val="es-419"/>
        </w:rPr>
        <w:t>Aranceles y Condiciones especiales</w:t>
      </w:r>
    </w:p>
    <w:p w14:paraId="2BBB550B" w14:textId="77777777" w:rsidR="0084104A" w:rsidRPr="006775F7" w:rsidRDefault="0084104A" w:rsidP="0084104A">
      <w:pPr>
        <w:rPr>
          <w:lang w:val="es-419"/>
        </w:rPr>
      </w:pPr>
    </w:p>
    <w:p w14:paraId="2EAF8B2F" w14:textId="77777777" w:rsidR="0084104A" w:rsidRPr="006775F7" w:rsidRDefault="0084104A" w:rsidP="005B7954">
      <w:pPr>
        <w:jc w:val="both"/>
        <w:rPr>
          <w:lang w:val="es-419"/>
        </w:rPr>
      </w:pPr>
      <w:r w:rsidRPr="006775F7">
        <w:rPr>
          <w:lang w:val="es-419"/>
        </w:rPr>
        <w:t xml:space="preserve">Los aranceles o gravámenes se aplican a nivel de ítem arancelario nacional (o subregional) y código de gravamen. Los aranceles pueden ser porcentuales ad-valorem o específicos, en cuyo caso se detalla moneda y unidad. </w:t>
      </w:r>
    </w:p>
    <w:p w14:paraId="1F7B5D06" w14:textId="77777777" w:rsidR="0084104A" w:rsidRPr="006775F7" w:rsidRDefault="0084104A" w:rsidP="005B7954">
      <w:pPr>
        <w:jc w:val="both"/>
        <w:rPr>
          <w:lang w:val="es-419"/>
        </w:rPr>
      </w:pPr>
      <w:r w:rsidRPr="006775F7">
        <w:rPr>
          <w:lang w:val="es-419"/>
        </w:rPr>
        <w:t xml:space="preserve">A su vez, pueden aplicarse condiciones especiales a nivel de ítem arancelario nacional (o subregional) y código de gravamen. </w:t>
      </w:r>
    </w:p>
    <w:p w14:paraId="46E8B4A4" w14:textId="77777777" w:rsidR="0084104A" w:rsidRPr="006775F7" w:rsidRDefault="0084104A" w:rsidP="005B7954">
      <w:pPr>
        <w:jc w:val="both"/>
        <w:rPr>
          <w:lang w:val="es-419"/>
        </w:rPr>
      </w:pPr>
    </w:p>
    <w:p w14:paraId="5AAC6594" w14:textId="77777777" w:rsidR="0084104A" w:rsidRPr="006775F7" w:rsidRDefault="0084104A" w:rsidP="005B7954">
      <w:pPr>
        <w:jc w:val="both"/>
        <w:rPr>
          <w:lang w:val="es-419"/>
        </w:rPr>
      </w:pPr>
      <w:r w:rsidRPr="006775F7">
        <w:rPr>
          <w:lang w:val="es-419"/>
        </w:rPr>
        <w:t>Las actualizaciones (altas, bajas y modificaciones) pueden tratarse de:</w:t>
      </w:r>
    </w:p>
    <w:p w14:paraId="22C1B3A9" w14:textId="77777777" w:rsidR="0084104A" w:rsidRPr="006775F7" w:rsidRDefault="0084104A" w:rsidP="005B7954">
      <w:pPr>
        <w:jc w:val="both"/>
        <w:rPr>
          <w:lang w:val="es-419"/>
        </w:rPr>
      </w:pPr>
      <w:r w:rsidRPr="006775F7">
        <w:rPr>
          <w:lang w:val="es-419"/>
        </w:rPr>
        <w:t>a) Procesos puntuales o</w:t>
      </w:r>
    </w:p>
    <w:p w14:paraId="7C162C83" w14:textId="77777777" w:rsidR="0084104A" w:rsidRPr="006775F7" w:rsidRDefault="0084104A" w:rsidP="005B7954">
      <w:pPr>
        <w:jc w:val="both"/>
        <w:rPr>
          <w:lang w:val="es-419"/>
        </w:rPr>
      </w:pPr>
      <w:r w:rsidRPr="006775F7">
        <w:rPr>
          <w:lang w:val="es-419"/>
        </w:rPr>
        <w:t>b) Procesos masivos,</w:t>
      </w:r>
    </w:p>
    <w:p w14:paraId="79B6A0C9" w14:textId="77777777" w:rsidR="0084104A" w:rsidRPr="006775F7" w:rsidRDefault="0084104A" w:rsidP="005B7954">
      <w:pPr>
        <w:jc w:val="both"/>
        <w:rPr>
          <w:lang w:val="es-419"/>
        </w:rPr>
      </w:pPr>
      <w:r w:rsidRPr="006775F7">
        <w:rPr>
          <w:lang w:val="es-419"/>
        </w:rPr>
        <w:t>y también requieren los datos de país, códigos de gravamen, fecha de entrada en vigor, disposición y documento fuente para procesar la información.</w:t>
      </w:r>
    </w:p>
    <w:p w14:paraId="209D2031" w14:textId="77777777" w:rsidR="0084104A" w:rsidRPr="006775F7" w:rsidRDefault="0084104A" w:rsidP="005B7954">
      <w:pPr>
        <w:jc w:val="both"/>
        <w:rPr>
          <w:lang w:val="es-419"/>
        </w:rPr>
      </w:pPr>
    </w:p>
    <w:p w14:paraId="6E434151" w14:textId="77777777" w:rsidR="0084104A" w:rsidRPr="006775F7" w:rsidRDefault="0084104A" w:rsidP="005B7954">
      <w:pPr>
        <w:jc w:val="both"/>
        <w:rPr>
          <w:lang w:val="es-419"/>
        </w:rPr>
      </w:pPr>
      <w:r w:rsidRPr="006775F7">
        <w:rPr>
          <w:lang w:val="es-419"/>
        </w:rPr>
        <w:t xml:space="preserve">Consultas: </w:t>
      </w:r>
    </w:p>
    <w:p w14:paraId="668BBA83" w14:textId="7F76A810" w:rsidR="0084104A" w:rsidRPr="006775F7" w:rsidRDefault="0084104A" w:rsidP="005B7954">
      <w:pPr>
        <w:jc w:val="both"/>
        <w:rPr>
          <w:lang w:val="es-419"/>
        </w:rPr>
      </w:pPr>
      <w:r w:rsidRPr="006775F7">
        <w:rPr>
          <w:lang w:val="es-419"/>
        </w:rPr>
        <w:t>Para un país</w:t>
      </w:r>
      <w:r w:rsidR="00CD6744" w:rsidRPr="006775F7">
        <w:rPr>
          <w:lang w:val="es-419"/>
        </w:rPr>
        <w:t xml:space="preserve"> o subregión</w:t>
      </w:r>
      <w:r w:rsidRPr="006775F7">
        <w:rPr>
          <w:lang w:val="es-419"/>
        </w:rPr>
        <w:t xml:space="preserve"> y fecha de vigencia </w:t>
      </w:r>
      <w:r w:rsidR="00CD6744" w:rsidRPr="006775F7">
        <w:rPr>
          <w:lang w:val="es-419"/>
        </w:rPr>
        <w:t xml:space="preserve">dada, </w:t>
      </w:r>
      <w:r w:rsidRPr="006775F7">
        <w:rPr>
          <w:lang w:val="es-419"/>
        </w:rPr>
        <w:t>se requiere presentación en pantalla y descarga a CSV y Excel</w:t>
      </w:r>
      <w:r w:rsidR="004961FB" w:rsidRPr="006775F7">
        <w:rPr>
          <w:lang w:val="es-419"/>
        </w:rPr>
        <w:t xml:space="preserve"> de la estructura arancelaria completa o de un subconjunto de ítems arancelarios que se seleccionen En cada caso se detalla el código, la descripción</w:t>
      </w:r>
      <w:r w:rsidR="00CD6744" w:rsidRPr="006775F7">
        <w:rPr>
          <w:lang w:val="es-419"/>
        </w:rPr>
        <w:t>,</w:t>
      </w:r>
      <w:r w:rsidR="004961FB" w:rsidRPr="006775F7">
        <w:rPr>
          <w:lang w:val="es-419"/>
        </w:rPr>
        <w:t xml:space="preserve"> el código de gravamen, el gravamen y las condiciones especiales, si </w:t>
      </w:r>
      <w:r w:rsidR="00CD6744" w:rsidRPr="006775F7">
        <w:rPr>
          <w:lang w:val="es-419"/>
        </w:rPr>
        <w:t xml:space="preserve">las </w:t>
      </w:r>
      <w:r w:rsidR="004961FB" w:rsidRPr="006775F7">
        <w:rPr>
          <w:lang w:val="es-419"/>
        </w:rPr>
        <w:t>hubiera.</w:t>
      </w:r>
    </w:p>
    <w:p w14:paraId="197F0F28" w14:textId="77777777" w:rsidR="0084104A" w:rsidRPr="006775F7" w:rsidRDefault="0084104A" w:rsidP="005B7954">
      <w:pPr>
        <w:jc w:val="both"/>
        <w:rPr>
          <w:lang w:val="es-419"/>
        </w:rPr>
      </w:pPr>
    </w:p>
    <w:p w14:paraId="3A7523A9" w14:textId="77777777" w:rsidR="0084104A" w:rsidRPr="006775F7" w:rsidRDefault="0084104A" w:rsidP="005B7954">
      <w:pPr>
        <w:jc w:val="both"/>
        <w:rPr>
          <w:lang w:val="es-419"/>
        </w:rPr>
      </w:pPr>
      <w:r w:rsidRPr="006775F7">
        <w:rPr>
          <w:lang w:val="es-419"/>
        </w:rPr>
        <w:t xml:space="preserve">Nota. Se señala que las fuentes de información de Nomenclaturas y de Aranceles son los diarios oficiales de los países miembros. </w:t>
      </w:r>
    </w:p>
    <w:p w14:paraId="3AE5D1BA" w14:textId="77777777" w:rsidR="0084104A" w:rsidRPr="006775F7" w:rsidRDefault="0084104A" w:rsidP="0084104A">
      <w:pPr>
        <w:rPr>
          <w:lang w:val="es-419"/>
        </w:rPr>
      </w:pPr>
    </w:p>
    <w:p w14:paraId="1C10483F" w14:textId="77777777" w:rsidR="00CD6744" w:rsidRPr="006775F7" w:rsidRDefault="00CD6744" w:rsidP="0084104A">
      <w:pPr>
        <w:rPr>
          <w:lang w:val="es-419"/>
        </w:rPr>
      </w:pPr>
    </w:p>
    <w:p w14:paraId="1DABA36A" w14:textId="77777777" w:rsidR="0084104A" w:rsidRPr="006775F7" w:rsidRDefault="0084104A" w:rsidP="0084104A">
      <w:pPr>
        <w:rPr>
          <w:lang w:val="es-419"/>
        </w:rPr>
      </w:pPr>
      <w:r w:rsidRPr="006775F7">
        <w:rPr>
          <w:sz w:val="28"/>
          <w:szCs w:val="28"/>
          <w:lang w:val="es-419"/>
        </w:rPr>
        <w:t xml:space="preserve">Correlaciones </w:t>
      </w:r>
    </w:p>
    <w:p w14:paraId="121ADDCA" w14:textId="77777777" w:rsidR="0084104A" w:rsidRPr="006775F7" w:rsidRDefault="0084104A" w:rsidP="0084104A">
      <w:pPr>
        <w:rPr>
          <w:lang w:val="es-419"/>
        </w:rPr>
      </w:pPr>
    </w:p>
    <w:p w14:paraId="5CA8E0FD" w14:textId="77777777" w:rsidR="0084104A" w:rsidRPr="006775F7" w:rsidRDefault="0084104A" w:rsidP="005B7954">
      <w:pPr>
        <w:jc w:val="both"/>
        <w:rPr>
          <w:lang w:val="es-419"/>
        </w:rPr>
      </w:pPr>
      <w:r w:rsidRPr="006775F7">
        <w:rPr>
          <w:lang w:val="es-419"/>
        </w:rPr>
        <w:t xml:space="preserve">Dado que la información de aranceles, estadísticas de comercio exterior de bienes y medidas no arancelarias se expresa a nivel de ítem arancelario nacional, y las preferencias están detalladas a nivel de código NALADISA, para interpretar la información se requiere correlacionar códigos entre distintas nomenclaturas, lo cual generalmente requiere varios pasos, debido a que la información de preferencias se encuentra expresada en diferentes enmiendas del SA. </w:t>
      </w:r>
    </w:p>
    <w:p w14:paraId="6866E44C" w14:textId="77777777" w:rsidR="0084104A" w:rsidRPr="006775F7" w:rsidRDefault="0084104A" w:rsidP="005B7954">
      <w:pPr>
        <w:jc w:val="both"/>
        <w:rPr>
          <w:lang w:val="es-419"/>
        </w:rPr>
      </w:pPr>
    </w:p>
    <w:p w14:paraId="312D3AE1" w14:textId="5AE8E0C0" w:rsidR="004961FB" w:rsidRPr="006775F7" w:rsidRDefault="004961FB" w:rsidP="005B7954">
      <w:pPr>
        <w:jc w:val="both"/>
        <w:rPr>
          <w:lang w:val="es-419"/>
        </w:rPr>
      </w:pPr>
      <w:r w:rsidRPr="006775F7">
        <w:rPr>
          <w:lang w:val="es-419"/>
        </w:rPr>
        <w:t xml:space="preserve">La correlación refiere a una nomenclatura de origen y una nomenclatura de destino. Un item de origen puede correlacionar con 1 o n items de la nomenclatura de destino. </w:t>
      </w:r>
    </w:p>
    <w:p w14:paraId="0FBBB964" w14:textId="77777777" w:rsidR="004961FB" w:rsidRPr="006775F7" w:rsidRDefault="004961FB" w:rsidP="005B7954">
      <w:pPr>
        <w:jc w:val="both"/>
        <w:rPr>
          <w:lang w:val="es-419"/>
        </w:rPr>
      </w:pPr>
    </w:p>
    <w:p w14:paraId="55CC2EB0" w14:textId="77777777" w:rsidR="0084104A" w:rsidRPr="006775F7" w:rsidRDefault="0084104A" w:rsidP="005B7954">
      <w:pPr>
        <w:jc w:val="both"/>
        <w:rPr>
          <w:lang w:val="es-419"/>
        </w:rPr>
      </w:pPr>
      <w:r w:rsidRPr="006775F7">
        <w:rPr>
          <w:lang w:val="es-419"/>
        </w:rPr>
        <w:t>Las actualizaciones (altas, bajas y modificaciones) pueden tratarse de:</w:t>
      </w:r>
    </w:p>
    <w:p w14:paraId="1527FB8B" w14:textId="77777777" w:rsidR="0084104A" w:rsidRPr="006775F7" w:rsidRDefault="0084104A" w:rsidP="005B7954">
      <w:pPr>
        <w:jc w:val="both"/>
        <w:rPr>
          <w:lang w:val="es-419"/>
        </w:rPr>
      </w:pPr>
      <w:r w:rsidRPr="006775F7">
        <w:rPr>
          <w:lang w:val="es-419"/>
        </w:rPr>
        <w:t>a) Procesos puntuales o</w:t>
      </w:r>
    </w:p>
    <w:p w14:paraId="39E9C2A9" w14:textId="77777777" w:rsidR="0084104A" w:rsidRPr="006775F7" w:rsidRDefault="0084104A" w:rsidP="005B7954">
      <w:pPr>
        <w:jc w:val="both"/>
        <w:rPr>
          <w:lang w:val="es-419"/>
        </w:rPr>
      </w:pPr>
      <w:r w:rsidRPr="006775F7">
        <w:rPr>
          <w:lang w:val="es-419"/>
        </w:rPr>
        <w:t>b) Procesos masivos,</w:t>
      </w:r>
    </w:p>
    <w:p w14:paraId="4E5126F4" w14:textId="77777777" w:rsidR="0084104A" w:rsidRPr="006775F7" w:rsidRDefault="0084104A" w:rsidP="0084104A">
      <w:pPr>
        <w:rPr>
          <w:lang w:val="es-419"/>
        </w:rPr>
      </w:pPr>
    </w:p>
    <w:p w14:paraId="57DDABF4" w14:textId="77777777" w:rsidR="0084104A" w:rsidRPr="006775F7" w:rsidRDefault="0084104A" w:rsidP="0084104A">
      <w:pPr>
        <w:rPr>
          <w:lang w:val="es-419"/>
        </w:rPr>
      </w:pPr>
      <w:r w:rsidRPr="006775F7">
        <w:rPr>
          <w:lang w:val="es-419"/>
        </w:rPr>
        <w:t xml:space="preserve">Consultas: </w:t>
      </w:r>
    </w:p>
    <w:p w14:paraId="6E1A9252" w14:textId="77777777" w:rsidR="0084104A" w:rsidRPr="006775F7" w:rsidRDefault="0084104A" w:rsidP="0084104A">
      <w:pPr>
        <w:ind w:left="360"/>
        <w:rPr>
          <w:lang w:val="es-419"/>
        </w:rPr>
      </w:pPr>
    </w:p>
    <w:p w14:paraId="0C6C3619" w14:textId="77777777" w:rsidR="0084104A" w:rsidRPr="006775F7" w:rsidRDefault="0084104A" w:rsidP="005B7954">
      <w:pPr>
        <w:jc w:val="both"/>
        <w:rPr>
          <w:lang w:val="es-419"/>
        </w:rPr>
      </w:pPr>
      <w:r w:rsidRPr="006775F7">
        <w:rPr>
          <w:lang w:val="es-419"/>
        </w:rPr>
        <w:t>Para una nomenclatura origen y una nomenclatura destino, y fecha de vigencia se requiere presentación en pantalla y descarga a CSV y Excel. Si la nomenclatura origen o destino corresponde a arancel nacional o subregional, es necesario seleccionar el país o subregión a tener en cuenta.</w:t>
      </w:r>
    </w:p>
    <w:p w14:paraId="2E641C8C" w14:textId="77777777" w:rsidR="0084104A" w:rsidRPr="006775F7" w:rsidRDefault="0084104A" w:rsidP="005B7954">
      <w:pPr>
        <w:jc w:val="both"/>
        <w:rPr>
          <w:lang w:val="es-419"/>
        </w:rPr>
      </w:pPr>
    </w:p>
    <w:p w14:paraId="51A7FAEE" w14:textId="77777777" w:rsidR="0084104A" w:rsidRPr="006775F7" w:rsidRDefault="0084104A" w:rsidP="0084104A">
      <w:pPr>
        <w:rPr>
          <w:lang w:val="es-419"/>
        </w:rPr>
      </w:pPr>
      <w:r w:rsidRPr="006775F7">
        <w:rPr>
          <w:lang w:val="es-419"/>
        </w:rPr>
        <w:t>Con base en los cambios de enmiendas la Secretaría General mantiene las Correlaciones.</w:t>
      </w:r>
    </w:p>
    <w:p w14:paraId="34524EA9" w14:textId="77777777" w:rsidR="0084104A" w:rsidRPr="006775F7" w:rsidRDefault="0084104A" w:rsidP="0084104A">
      <w:pPr>
        <w:rPr>
          <w:lang w:val="es-419"/>
        </w:rPr>
      </w:pPr>
    </w:p>
    <w:p w14:paraId="079CE497" w14:textId="77777777" w:rsidR="004961FB" w:rsidRPr="006775F7" w:rsidRDefault="004961FB" w:rsidP="0084104A">
      <w:pPr>
        <w:rPr>
          <w:lang w:val="es-419"/>
        </w:rPr>
      </w:pPr>
    </w:p>
    <w:p w14:paraId="54A066D6" w14:textId="77777777" w:rsidR="0084104A" w:rsidRPr="006775F7" w:rsidRDefault="0084104A" w:rsidP="0084104A">
      <w:pPr>
        <w:rPr>
          <w:lang w:val="es-419"/>
        </w:rPr>
      </w:pPr>
      <w:r w:rsidRPr="006775F7">
        <w:rPr>
          <w:sz w:val="28"/>
          <w:szCs w:val="28"/>
          <w:lang w:val="es-419"/>
        </w:rPr>
        <w:t>Estadísticas de Comercio Exterior de Bienes</w:t>
      </w:r>
    </w:p>
    <w:p w14:paraId="1A503556" w14:textId="77777777" w:rsidR="0084104A" w:rsidRPr="006775F7" w:rsidRDefault="0084104A" w:rsidP="005B7954">
      <w:pPr>
        <w:pBdr>
          <w:top w:val="nil"/>
          <w:left w:val="nil"/>
          <w:bottom w:val="nil"/>
          <w:right w:val="nil"/>
          <w:between w:val="nil"/>
        </w:pBdr>
        <w:rPr>
          <w:lang w:val="es-419"/>
        </w:rPr>
      </w:pPr>
    </w:p>
    <w:p w14:paraId="2895F77C" w14:textId="77777777" w:rsidR="0084104A" w:rsidRPr="006775F7" w:rsidRDefault="0084104A" w:rsidP="005B7954">
      <w:pPr>
        <w:pBdr>
          <w:top w:val="nil"/>
          <w:left w:val="nil"/>
          <w:bottom w:val="nil"/>
          <w:right w:val="nil"/>
          <w:between w:val="nil"/>
        </w:pBdr>
        <w:jc w:val="both"/>
        <w:rPr>
          <w:lang w:val="es-419"/>
        </w:rPr>
      </w:pPr>
      <w:r w:rsidRPr="006775F7">
        <w:rPr>
          <w:lang w:val="es-419"/>
        </w:rPr>
        <w:t xml:space="preserve">Cada país miembro remite a la ALADI información de sus exportaciones e importaciones, en forma mensual, bimensual, semestral o sin periodicidad, dependiendo de cada caso. El envío suele hacerse en formato txt, csv, u otro. Si bien existe un estándar definido, los países no los siguen estrictamente, por lo que la información requiere un trabajo previo de adecuación. </w:t>
      </w:r>
    </w:p>
    <w:p w14:paraId="160BF5C6" w14:textId="77777777" w:rsidR="0084104A" w:rsidRPr="006775F7" w:rsidRDefault="0084104A" w:rsidP="005B7954">
      <w:pPr>
        <w:pBdr>
          <w:top w:val="nil"/>
          <w:left w:val="nil"/>
          <w:bottom w:val="nil"/>
          <w:right w:val="nil"/>
          <w:between w:val="nil"/>
        </w:pBdr>
        <w:jc w:val="both"/>
        <w:rPr>
          <w:lang w:val="es-419"/>
        </w:rPr>
      </w:pPr>
    </w:p>
    <w:p w14:paraId="1C441E6D" w14:textId="77777777" w:rsidR="0084104A" w:rsidRPr="006775F7" w:rsidRDefault="0084104A" w:rsidP="005B7954">
      <w:pPr>
        <w:pBdr>
          <w:top w:val="nil"/>
          <w:left w:val="nil"/>
          <w:bottom w:val="nil"/>
          <w:right w:val="nil"/>
          <w:between w:val="nil"/>
        </w:pBdr>
        <w:jc w:val="both"/>
        <w:rPr>
          <w:lang w:val="es-419"/>
        </w:rPr>
      </w:pPr>
      <w:r w:rsidRPr="006775F7">
        <w:rPr>
          <w:lang w:val="es-419"/>
        </w:rPr>
        <w:t xml:space="preserve">Actualmente, los datos que envía el país, generalmente se procesan primero en Excel para darles el formato adecuado de acuerdo a lo detallado en el “Manual de Instrucciones para el suministro uniforme de las estadísticas de comercio exterior”. No obstante, dado que, cada envío con los datos de comercio puede tener millones de registros, el archivo original muchas veces es dividido en varios archivos acordes al tamaño de una planilla Excel. </w:t>
      </w:r>
    </w:p>
    <w:p w14:paraId="06C91511" w14:textId="77777777" w:rsidR="0084104A" w:rsidRPr="006775F7" w:rsidRDefault="0084104A" w:rsidP="005B7954">
      <w:pPr>
        <w:pBdr>
          <w:top w:val="nil"/>
          <w:left w:val="nil"/>
          <w:bottom w:val="nil"/>
          <w:right w:val="nil"/>
          <w:between w:val="nil"/>
        </w:pBdr>
        <w:rPr>
          <w:lang w:val="es-419"/>
        </w:rPr>
      </w:pPr>
    </w:p>
    <w:p w14:paraId="1E57E87D" w14:textId="71312E46" w:rsidR="0084104A" w:rsidRPr="006775F7" w:rsidRDefault="0084104A" w:rsidP="005B7954">
      <w:pPr>
        <w:pBdr>
          <w:top w:val="nil"/>
          <w:left w:val="nil"/>
          <w:bottom w:val="nil"/>
          <w:right w:val="nil"/>
          <w:between w:val="nil"/>
        </w:pBdr>
        <w:rPr>
          <w:lang w:val="es-419"/>
        </w:rPr>
      </w:pPr>
      <w:r w:rsidRPr="006775F7">
        <w:rPr>
          <w:lang w:val="es-419"/>
        </w:rPr>
        <w:t>Se requiere:</w:t>
      </w:r>
    </w:p>
    <w:p w14:paraId="63E065B9" w14:textId="77777777" w:rsidR="0084104A" w:rsidRPr="006775F7" w:rsidRDefault="0084104A" w:rsidP="005B7954">
      <w:pPr>
        <w:pBdr>
          <w:top w:val="nil"/>
          <w:left w:val="nil"/>
          <w:bottom w:val="nil"/>
          <w:right w:val="nil"/>
          <w:between w:val="nil"/>
        </w:pBdr>
        <w:rPr>
          <w:lang w:val="es-419"/>
        </w:rPr>
      </w:pPr>
    </w:p>
    <w:p w14:paraId="7C4FEEEC" w14:textId="061A59A3" w:rsidR="0084104A" w:rsidRPr="006775F7" w:rsidRDefault="00CD6744" w:rsidP="0084104A">
      <w:pPr>
        <w:numPr>
          <w:ilvl w:val="0"/>
          <w:numId w:val="7"/>
        </w:numPr>
        <w:spacing w:after="160" w:line="259" w:lineRule="auto"/>
        <w:rPr>
          <w:lang w:val="es-419"/>
        </w:rPr>
      </w:pPr>
      <w:r w:rsidRPr="006775F7">
        <w:rPr>
          <w:lang w:val="es-419"/>
        </w:rPr>
        <w:t>D</w:t>
      </w:r>
      <w:r w:rsidR="0084104A" w:rsidRPr="006775F7">
        <w:rPr>
          <w:lang w:val="es-419"/>
        </w:rPr>
        <w:t xml:space="preserve">ar formato inicial al comercio enviado por los países a efectos de adecuarlo al formato requerido. </w:t>
      </w:r>
    </w:p>
    <w:p w14:paraId="218DBDD6" w14:textId="70742932" w:rsidR="0084104A" w:rsidRPr="006775F7" w:rsidRDefault="0084104A" w:rsidP="0084104A">
      <w:pPr>
        <w:pBdr>
          <w:top w:val="nil"/>
          <w:left w:val="nil"/>
          <w:bottom w:val="nil"/>
          <w:right w:val="nil"/>
          <w:between w:val="nil"/>
        </w:pBdr>
        <w:rPr>
          <w:lang w:val="es-419"/>
        </w:rPr>
      </w:pPr>
      <w:r w:rsidRPr="006775F7">
        <w:rPr>
          <w:lang w:val="es-419"/>
        </w:rPr>
        <w:t>El registro de salida para ser procesado por el IBM Power9 (anteriormente denominado IBM iSeries e IBM/AS 400) debe tener la siguiente forma:</w:t>
      </w:r>
    </w:p>
    <w:p w14:paraId="335D629E" w14:textId="77777777" w:rsidR="0084104A" w:rsidRPr="006775F7" w:rsidRDefault="0084104A" w:rsidP="0084104A">
      <w:pPr>
        <w:pBdr>
          <w:top w:val="nil"/>
          <w:left w:val="nil"/>
          <w:bottom w:val="nil"/>
          <w:right w:val="nil"/>
          <w:between w:val="nil"/>
        </w:pBdr>
        <w:rPr>
          <w:lang w:val="es-419"/>
        </w:rPr>
      </w:pPr>
    </w:p>
    <w:p w14:paraId="55B87602" w14:textId="61949A79" w:rsidR="0084104A" w:rsidRPr="006775F7" w:rsidRDefault="0084104A" w:rsidP="0084104A">
      <w:pPr>
        <w:pBdr>
          <w:top w:val="nil"/>
          <w:left w:val="nil"/>
          <w:bottom w:val="nil"/>
          <w:right w:val="nil"/>
          <w:between w:val="nil"/>
        </w:pBdr>
        <w:ind w:left="720"/>
        <w:rPr>
          <w:lang w:val="es-419"/>
        </w:rPr>
      </w:pPr>
      <w:r w:rsidRPr="006775F7">
        <w:rPr>
          <w:lang w:val="es-419"/>
        </w:rPr>
        <w:t>CC</w:t>
      </w:r>
      <w:r w:rsidRPr="006775F7">
        <w:rPr>
          <w:lang w:val="es-419"/>
        </w:rPr>
        <w:tab/>
      </w:r>
      <w:r w:rsidR="005B7954">
        <w:rPr>
          <w:lang w:val="es-419"/>
        </w:rPr>
        <w:tab/>
      </w:r>
      <w:r w:rsidRPr="006775F7">
        <w:rPr>
          <w:lang w:val="es-419"/>
        </w:rPr>
        <w:t>Código de País, largo dos, alfanumérico</w:t>
      </w:r>
    </w:p>
    <w:p w14:paraId="20941E91" w14:textId="32577E4A" w:rsidR="0084104A" w:rsidRPr="006775F7" w:rsidRDefault="0084104A" w:rsidP="0084104A">
      <w:pPr>
        <w:pBdr>
          <w:top w:val="nil"/>
          <w:left w:val="nil"/>
          <w:bottom w:val="nil"/>
          <w:right w:val="nil"/>
          <w:between w:val="nil"/>
        </w:pBdr>
        <w:ind w:left="720"/>
        <w:rPr>
          <w:lang w:val="es-419"/>
        </w:rPr>
      </w:pPr>
      <w:r w:rsidRPr="006775F7">
        <w:rPr>
          <w:lang w:val="es-419"/>
        </w:rPr>
        <w:t>MM</w:t>
      </w:r>
      <w:r w:rsidRPr="006775F7">
        <w:rPr>
          <w:lang w:val="es-419"/>
        </w:rPr>
        <w:tab/>
      </w:r>
      <w:r w:rsidR="005B7954">
        <w:rPr>
          <w:lang w:val="es-419"/>
        </w:rPr>
        <w:tab/>
      </w:r>
      <w:r w:rsidRPr="006775F7">
        <w:rPr>
          <w:lang w:val="es-419"/>
        </w:rPr>
        <w:t>Mes, largo dos, alfanumérico</w:t>
      </w:r>
    </w:p>
    <w:p w14:paraId="6D657378" w14:textId="3C916EE1" w:rsidR="0084104A" w:rsidRPr="006775F7" w:rsidRDefault="0084104A" w:rsidP="0084104A">
      <w:pPr>
        <w:pBdr>
          <w:top w:val="nil"/>
          <w:left w:val="nil"/>
          <w:bottom w:val="nil"/>
          <w:right w:val="nil"/>
          <w:between w:val="nil"/>
        </w:pBdr>
        <w:ind w:left="720"/>
        <w:rPr>
          <w:lang w:val="es-419"/>
        </w:rPr>
      </w:pPr>
      <w:r w:rsidRPr="006775F7">
        <w:rPr>
          <w:lang w:val="es-419"/>
        </w:rPr>
        <w:t>AAAA</w:t>
      </w:r>
      <w:r w:rsidRPr="006775F7">
        <w:rPr>
          <w:lang w:val="es-419"/>
        </w:rPr>
        <w:tab/>
      </w:r>
      <w:r w:rsidR="005B7954">
        <w:rPr>
          <w:lang w:val="es-419"/>
        </w:rPr>
        <w:tab/>
      </w:r>
      <w:r w:rsidRPr="006775F7">
        <w:rPr>
          <w:lang w:val="es-419"/>
        </w:rPr>
        <w:t>Año, largo cuatro, alfanumérico</w:t>
      </w:r>
    </w:p>
    <w:p w14:paraId="680BB7C8" w14:textId="34E12692" w:rsidR="0084104A" w:rsidRPr="00081602" w:rsidRDefault="0084104A" w:rsidP="0084104A">
      <w:pPr>
        <w:pBdr>
          <w:top w:val="nil"/>
          <w:left w:val="nil"/>
          <w:bottom w:val="nil"/>
          <w:right w:val="nil"/>
          <w:between w:val="nil"/>
        </w:pBdr>
        <w:ind w:left="720"/>
        <w:rPr>
          <w:lang w:val="es-419"/>
        </w:rPr>
      </w:pPr>
      <w:r w:rsidRPr="00081602">
        <w:rPr>
          <w:lang w:val="es-419"/>
        </w:rPr>
        <w:t>C</w:t>
      </w:r>
      <w:r w:rsidRPr="00081602">
        <w:rPr>
          <w:lang w:val="es-419"/>
        </w:rPr>
        <w:tab/>
      </w:r>
      <w:r w:rsidR="005B7954" w:rsidRPr="00081602">
        <w:rPr>
          <w:lang w:val="es-419"/>
        </w:rPr>
        <w:tab/>
      </w:r>
      <w:r w:rsidRPr="00081602">
        <w:rPr>
          <w:lang w:val="es-419"/>
        </w:rPr>
        <w:t>Código de comercio, largo 1, numérico</w:t>
      </w:r>
    </w:p>
    <w:p w14:paraId="249650CB" w14:textId="5EC7DFCA" w:rsidR="0084104A" w:rsidRPr="006775F7" w:rsidRDefault="0084104A" w:rsidP="0084104A">
      <w:pPr>
        <w:pBdr>
          <w:top w:val="nil"/>
          <w:left w:val="nil"/>
          <w:bottom w:val="nil"/>
          <w:right w:val="nil"/>
          <w:between w:val="nil"/>
        </w:pBdr>
        <w:ind w:left="720"/>
        <w:rPr>
          <w:lang w:val="es-419"/>
        </w:rPr>
      </w:pPr>
      <w:r w:rsidRPr="006775F7">
        <w:rPr>
          <w:lang w:val="es-419"/>
        </w:rPr>
        <w:t>PPP</w:t>
      </w:r>
      <w:r w:rsidRPr="006775F7">
        <w:rPr>
          <w:lang w:val="es-419"/>
        </w:rPr>
        <w:tab/>
      </w:r>
      <w:r w:rsidR="005B7954">
        <w:rPr>
          <w:lang w:val="es-419"/>
        </w:rPr>
        <w:tab/>
      </w:r>
      <w:r w:rsidRPr="006775F7">
        <w:rPr>
          <w:lang w:val="es-419"/>
        </w:rPr>
        <w:t>País de destino u origen, largo 3, alfanumérico</w:t>
      </w:r>
    </w:p>
    <w:p w14:paraId="35A64D1F" w14:textId="3A0EA475" w:rsidR="0084104A" w:rsidRPr="006775F7" w:rsidRDefault="0084104A" w:rsidP="0084104A">
      <w:pPr>
        <w:pBdr>
          <w:top w:val="nil"/>
          <w:left w:val="nil"/>
          <w:bottom w:val="nil"/>
          <w:right w:val="nil"/>
          <w:between w:val="nil"/>
        </w:pBdr>
        <w:ind w:left="720"/>
        <w:rPr>
          <w:lang w:val="es-419"/>
        </w:rPr>
      </w:pPr>
      <w:r w:rsidRPr="006775F7">
        <w:rPr>
          <w:lang w:val="es-419"/>
        </w:rPr>
        <w:t>PPP</w:t>
      </w:r>
      <w:r w:rsidRPr="006775F7">
        <w:rPr>
          <w:lang w:val="es-419"/>
        </w:rPr>
        <w:tab/>
      </w:r>
      <w:r w:rsidR="005B7954">
        <w:rPr>
          <w:lang w:val="es-419"/>
        </w:rPr>
        <w:tab/>
      </w:r>
      <w:r w:rsidRPr="006775F7">
        <w:rPr>
          <w:lang w:val="es-419"/>
        </w:rPr>
        <w:t>País de procedencia, largo 3, alfanumérico</w:t>
      </w:r>
    </w:p>
    <w:p w14:paraId="47E95BC7" w14:textId="77777777" w:rsidR="0084104A" w:rsidRPr="006775F7" w:rsidRDefault="0084104A" w:rsidP="0084104A">
      <w:pPr>
        <w:pBdr>
          <w:top w:val="nil"/>
          <w:left w:val="nil"/>
          <w:bottom w:val="nil"/>
          <w:right w:val="nil"/>
          <w:between w:val="nil"/>
        </w:pBdr>
        <w:ind w:left="720"/>
        <w:rPr>
          <w:lang w:val="es-419"/>
        </w:rPr>
      </w:pPr>
      <w:r w:rsidRPr="006775F7">
        <w:rPr>
          <w:lang w:val="es-419"/>
        </w:rPr>
        <w:t>ZPZPZP</w:t>
      </w:r>
      <w:r w:rsidRPr="006775F7">
        <w:rPr>
          <w:lang w:val="es-419"/>
        </w:rPr>
        <w:tab/>
        <w:t>Zona de Producción, largo 6, alfanumérico</w:t>
      </w:r>
    </w:p>
    <w:p w14:paraId="5E72C000" w14:textId="1CF6F9A3" w:rsidR="0084104A" w:rsidRPr="005B7954" w:rsidRDefault="0084104A" w:rsidP="0084104A">
      <w:pPr>
        <w:pBdr>
          <w:top w:val="nil"/>
          <w:left w:val="nil"/>
          <w:bottom w:val="nil"/>
          <w:right w:val="nil"/>
          <w:between w:val="nil"/>
        </w:pBdr>
        <w:ind w:left="720"/>
        <w:rPr>
          <w:lang w:val="pt-BR"/>
        </w:rPr>
      </w:pPr>
      <w:r w:rsidRPr="005B7954">
        <w:rPr>
          <w:lang w:val="pt-BR"/>
        </w:rPr>
        <w:t>ítem</w:t>
      </w:r>
      <w:r w:rsidRPr="005B7954">
        <w:rPr>
          <w:lang w:val="pt-BR"/>
        </w:rPr>
        <w:tab/>
      </w:r>
      <w:r w:rsidR="005B7954">
        <w:rPr>
          <w:lang w:val="pt-BR"/>
        </w:rPr>
        <w:tab/>
      </w:r>
      <w:r w:rsidRPr="005B7954">
        <w:rPr>
          <w:lang w:val="pt-BR"/>
        </w:rPr>
        <w:t>Item arancelario, largo 12, alfanumérico</w:t>
      </w:r>
    </w:p>
    <w:p w14:paraId="733CB09D" w14:textId="205D3615" w:rsidR="0084104A" w:rsidRPr="00081602" w:rsidRDefault="0084104A" w:rsidP="0084104A">
      <w:pPr>
        <w:pBdr>
          <w:top w:val="nil"/>
          <w:left w:val="nil"/>
          <w:bottom w:val="nil"/>
          <w:right w:val="nil"/>
          <w:between w:val="nil"/>
        </w:pBdr>
        <w:ind w:left="720"/>
        <w:rPr>
          <w:lang w:val="pt-BR"/>
        </w:rPr>
      </w:pPr>
      <w:r w:rsidRPr="00081602">
        <w:rPr>
          <w:lang w:val="pt-BR"/>
        </w:rPr>
        <w:t>nal</w:t>
      </w:r>
      <w:r w:rsidRPr="00081602">
        <w:rPr>
          <w:lang w:val="pt-BR"/>
        </w:rPr>
        <w:tab/>
      </w:r>
      <w:r w:rsidR="005B7954" w:rsidRPr="00081602">
        <w:rPr>
          <w:lang w:val="pt-BR"/>
        </w:rPr>
        <w:tab/>
        <w:t>I</w:t>
      </w:r>
      <w:r w:rsidRPr="00081602">
        <w:rPr>
          <w:lang w:val="pt-BR"/>
        </w:rPr>
        <w:t>tem NALADISA, largo 8, alfanumérico</w:t>
      </w:r>
    </w:p>
    <w:p w14:paraId="7A507776" w14:textId="53405CFD" w:rsidR="0084104A" w:rsidRPr="006775F7" w:rsidRDefault="0084104A" w:rsidP="0084104A">
      <w:pPr>
        <w:pBdr>
          <w:top w:val="nil"/>
          <w:left w:val="nil"/>
          <w:bottom w:val="nil"/>
          <w:right w:val="nil"/>
          <w:between w:val="nil"/>
        </w:pBdr>
        <w:ind w:left="720"/>
        <w:rPr>
          <w:lang w:val="es-419"/>
        </w:rPr>
      </w:pPr>
      <w:r w:rsidRPr="006775F7">
        <w:rPr>
          <w:lang w:val="es-419"/>
        </w:rPr>
        <w:t>Tipo</w:t>
      </w:r>
      <w:r w:rsidRPr="006775F7">
        <w:rPr>
          <w:lang w:val="es-419"/>
        </w:rPr>
        <w:tab/>
      </w:r>
      <w:r w:rsidR="005B7954">
        <w:rPr>
          <w:lang w:val="es-419"/>
        </w:rPr>
        <w:tab/>
        <w:t>T</w:t>
      </w:r>
      <w:r w:rsidRPr="006775F7">
        <w:rPr>
          <w:lang w:val="es-419"/>
        </w:rPr>
        <w:t>ipo de acuerdo, largo 1, numérico</w:t>
      </w:r>
    </w:p>
    <w:p w14:paraId="7C03D097" w14:textId="0E4DC467" w:rsidR="0084104A" w:rsidRPr="006775F7" w:rsidRDefault="0084104A" w:rsidP="0084104A">
      <w:pPr>
        <w:pBdr>
          <w:top w:val="nil"/>
          <w:left w:val="nil"/>
          <w:bottom w:val="nil"/>
          <w:right w:val="nil"/>
          <w:between w:val="nil"/>
        </w:pBdr>
        <w:ind w:left="720"/>
        <w:rPr>
          <w:lang w:val="es-419"/>
        </w:rPr>
      </w:pPr>
      <w:r w:rsidRPr="006775F7">
        <w:rPr>
          <w:lang w:val="es-419"/>
        </w:rPr>
        <w:t>Nro</w:t>
      </w:r>
      <w:r w:rsidRPr="006775F7">
        <w:rPr>
          <w:lang w:val="es-419"/>
        </w:rPr>
        <w:tab/>
      </w:r>
      <w:r w:rsidR="005B7954">
        <w:rPr>
          <w:lang w:val="es-419"/>
        </w:rPr>
        <w:tab/>
        <w:t>N</w:t>
      </w:r>
      <w:r w:rsidRPr="006775F7">
        <w:rPr>
          <w:lang w:val="es-419"/>
        </w:rPr>
        <w:t>úmero de acuerdo, largo 3, alfanumérico (x ej 038, 004)</w:t>
      </w:r>
    </w:p>
    <w:p w14:paraId="39663242" w14:textId="1464E0EF" w:rsidR="0084104A" w:rsidRPr="006775F7" w:rsidRDefault="0084104A" w:rsidP="00081602">
      <w:pPr>
        <w:pBdr>
          <w:top w:val="nil"/>
          <w:left w:val="nil"/>
          <w:bottom w:val="nil"/>
          <w:right w:val="nil"/>
          <w:between w:val="nil"/>
        </w:pBdr>
        <w:ind w:left="1440" w:hanging="720"/>
        <w:rPr>
          <w:lang w:val="es-419"/>
        </w:rPr>
      </w:pPr>
      <w:r w:rsidRPr="006775F7">
        <w:rPr>
          <w:lang w:val="es-419"/>
        </w:rPr>
        <w:t>Letra</w:t>
      </w:r>
      <w:r w:rsidRPr="006775F7">
        <w:rPr>
          <w:lang w:val="es-419"/>
        </w:rPr>
        <w:tab/>
      </w:r>
      <w:r w:rsidR="005B7954">
        <w:rPr>
          <w:lang w:val="es-419"/>
        </w:rPr>
        <w:tab/>
        <w:t>L</w:t>
      </w:r>
      <w:r w:rsidRPr="006775F7">
        <w:rPr>
          <w:lang w:val="es-419"/>
        </w:rPr>
        <w:t>etra del acuerdo, largo 1, alfanumérico</w:t>
      </w:r>
    </w:p>
    <w:p w14:paraId="20A2DC21" w14:textId="7D16003F" w:rsidR="0084104A" w:rsidRPr="006775F7" w:rsidRDefault="0084104A" w:rsidP="0084104A">
      <w:pPr>
        <w:pBdr>
          <w:top w:val="nil"/>
          <w:left w:val="nil"/>
          <w:bottom w:val="nil"/>
          <w:right w:val="nil"/>
          <w:between w:val="nil"/>
        </w:pBdr>
        <w:ind w:left="720"/>
        <w:rPr>
          <w:lang w:val="es-419"/>
        </w:rPr>
      </w:pPr>
      <w:r w:rsidRPr="006775F7">
        <w:rPr>
          <w:lang w:val="es-419"/>
        </w:rPr>
        <w:t>Puerto</w:t>
      </w:r>
      <w:r w:rsidRPr="006775F7">
        <w:rPr>
          <w:lang w:val="es-419"/>
        </w:rPr>
        <w:tab/>
      </w:r>
      <w:r w:rsidR="005B7954">
        <w:rPr>
          <w:lang w:val="es-419"/>
        </w:rPr>
        <w:tab/>
      </w:r>
      <w:r w:rsidRPr="006775F7">
        <w:rPr>
          <w:lang w:val="es-419"/>
        </w:rPr>
        <w:t>Puerto de entrada/salida, largo 7, alfanumérico</w:t>
      </w:r>
    </w:p>
    <w:p w14:paraId="22E3A2C6" w14:textId="322165EB" w:rsidR="0084104A" w:rsidRPr="006775F7" w:rsidRDefault="00AA6899" w:rsidP="005B7954">
      <w:pPr>
        <w:pBdr>
          <w:top w:val="nil"/>
          <w:left w:val="nil"/>
          <w:bottom w:val="nil"/>
          <w:right w:val="nil"/>
          <w:between w:val="nil"/>
        </w:pBdr>
        <w:ind w:firstLine="720"/>
        <w:rPr>
          <w:lang w:val="es-419"/>
        </w:rPr>
      </w:pPr>
      <w:r w:rsidRPr="00AA6899">
        <w:rPr>
          <w:lang w:val="es-419"/>
        </w:rPr>
        <w:t>MT</w:t>
      </w:r>
      <w:r w:rsidRPr="00AA6899">
        <w:rPr>
          <w:lang w:val="es-419"/>
        </w:rPr>
        <w:tab/>
      </w:r>
      <w:r w:rsidRPr="00AA6899">
        <w:rPr>
          <w:lang w:val="es-419"/>
        </w:rPr>
        <w:tab/>
      </w:r>
      <w:r w:rsidR="0084104A" w:rsidRPr="00AA6899">
        <w:rPr>
          <w:lang w:val="es-419"/>
        </w:rPr>
        <w:t>Modo de transporte, largo 2, alfanumérico</w:t>
      </w:r>
    </w:p>
    <w:p w14:paraId="11E85608" w14:textId="0B0C9434" w:rsidR="0084104A" w:rsidRPr="006775F7" w:rsidRDefault="0084104A" w:rsidP="0084104A">
      <w:pPr>
        <w:pBdr>
          <w:top w:val="nil"/>
          <w:left w:val="nil"/>
          <w:bottom w:val="nil"/>
          <w:right w:val="nil"/>
          <w:between w:val="nil"/>
        </w:pBdr>
        <w:ind w:left="720"/>
        <w:rPr>
          <w:lang w:val="es-419"/>
        </w:rPr>
      </w:pPr>
      <w:r w:rsidRPr="006775F7">
        <w:rPr>
          <w:lang w:val="es-419"/>
        </w:rPr>
        <w:t>Filler</w:t>
      </w:r>
      <w:r w:rsidRPr="006775F7">
        <w:rPr>
          <w:lang w:val="es-419"/>
        </w:rPr>
        <w:tab/>
      </w:r>
      <w:r w:rsidR="005B7954">
        <w:rPr>
          <w:lang w:val="es-419"/>
        </w:rPr>
        <w:tab/>
        <w:t>L</w:t>
      </w:r>
      <w:r w:rsidRPr="006775F7">
        <w:rPr>
          <w:lang w:val="es-419"/>
        </w:rPr>
        <w:t>argo 3</w:t>
      </w:r>
    </w:p>
    <w:p w14:paraId="19392B0E" w14:textId="085946E3" w:rsidR="0084104A" w:rsidRPr="006775F7" w:rsidRDefault="0084104A" w:rsidP="0084104A">
      <w:pPr>
        <w:pBdr>
          <w:top w:val="nil"/>
          <w:left w:val="nil"/>
          <w:bottom w:val="nil"/>
          <w:right w:val="nil"/>
          <w:between w:val="nil"/>
        </w:pBdr>
        <w:ind w:left="720"/>
        <w:rPr>
          <w:lang w:val="es-419"/>
        </w:rPr>
      </w:pPr>
      <w:r w:rsidRPr="006775F7">
        <w:rPr>
          <w:lang w:val="es-419"/>
        </w:rPr>
        <w:t>Filler</w:t>
      </w:r>
      <w:r w:rsidRPr="006775F7">
        <w:rPr>
          <w:lang w:val="es-419"/>
        </w:rPr>
        <w:tab/>
      </w:r>
      <w:r w:rsidR="005B7954">
        <w:rPr>
          <w:lang w:val="es-419"/>
        </w:rPr>
        <w:tab/>
        <w:t>L</w:t>
      </w:r>
      <w:r w:rsidRPr="006775F7">
        <w:rPr>
          <w:lang w:val="es-419"/>
        </w:rPr>
        <w:t>argo 1</w:t>
      </w:r>
    </w:p>
    <w:p w14:paraId="413569C3" w14:textId="20EFEEE5" w:rsidR="0084104A" w:rsidRPr="006775F7" w:rsidRDefault="0084104A" w:rsidP="0084104A">
      <w:pPr>
        <w:pBdr>
          <w:top w:val="nil"/>
          <w:left w:val="nil"/>
          <w:bottom w:val="nil"/>
          <w:right w:val="nil"/>
          <w:between w:val="nil"/>
        </w:pBdr>
        <w:ind w:left="720"/>
        <w:rPr>
          <w:lang w:val="es-419"/>
        </w:rPr>
      </w:pPr>
      <w:r w:rsidRPr="006775F7">
        <w:rPr>
          <w:lang w:val="es-419"/>
        </w:rPr>
        <w:t>PB</w:t>
      </w:r>
      <w:r w:rsidRPr="006775F7">
        <w:rPr>
          <w:lang w:val="es-419"/>
        </w:rPr>
        <w:tab/>
      </w:r>
      <w:r w:rsidR="005B7954">
        <w:rPr>
          <w:lang w:val="es-419"/>
        </w:rPr>
        <w:tab/>
      </w:r>
      <w:r w:rsidRPr="006775F7">
        <w:rPr>
          <w:lang w:val="es-419"/>
        </w:rPr>
        <w:t>Peso bruto, largo 14, formato numérico sin decimales</w:t>
      </w:r>
    </w:p>
    <w:p w14:paraId="39274817" w14:textId="3F3C0E7A" w:rsidR="0084104A" w:rsidRPr="006775F7" w:rsidRDefault="0084104A" w:rsidP="0084104A">
      <w:pPr>
        <w:pBdr>
          <w:top w:val="nil"/>
          <w:left w:val="nil"/>
          <w:bottom w:val="nil"/>
          <w:right w:val="nil"/>
          <w:between w:val="nil"/>
        </w:pBdr>
        <w:ind w:left="720"/>
        <w:rPr>
          <w:lang w:val="es-419"/>
        </w:rPr>
      </w:pPr>
      <w:r w:rsidRPr="006775F7">
        <w:rPr>
          <w:lang w:val="es-419"/>
        </w:rPr>
        <w:t>PN</w:t>
      </w:r>
      <w:r w:rsidRPr="006775F7">
        <w:rPr>
          <w:lang w:val="es-419"/>
        </w:rPr>
        <w:tab/>
      </w:r>
      <w:r w:rsidR="005B7954">
        <w:rPr>
          <w:lang w:val="es-419"/>
        </w:rPr>
        <w:tab/>
      </w:r>
      <w:r w:rsidRPr="006775F7">
        <w:rPr>
          <w:lang w:val="es-419"/>
        </w:rPr>
        <w:t>Peso neto, largo 14, formato numérico sin decimales</w:t>
      </w:r>
    </w:p>
    <w:p w14:paraId="33056390" w14:textId="7E0440B3" w:rsidR="0084104A" w:rsidRPr="006775F7" w:rsidRDefault="0084104A" w:rsidP="0084104A">
      <w:pPr>
        <w:pBdr>
          <w:top w:val="nil"/>
          <w:left w:val="nil"/>
          <w:bottom w:val="nil"/>
          <w:right w:val="nil"/>
          <w:between w:val="nil"/>
        </w:pBdr>
        <w:ind w:left="720"/>
        <w:rPr>
          <w:lang w:val="es-419"/>
        </w:rPr>
      </w:pPr>
      <w:r w:rsidRPr="006775F7">
        <w:rPr>
          <w:lang w:val="es-419"/>
        </w:rPr>
        <w:t>UN</w:t>
      </w:r>
      <w:r w:rsidRPr="006775F7">
        <w:rPr>
          <w:lang w:val="es-419"/>
        </w:rPr>
        <w:tab/>
      </w:r>
      <w:r w:rsidR="005B7954">
        <w:rPr>
          <w:lang w:val="es-419"/>
        </w:rPr>
        <w:tab/>
      </w:r>
      <w:r w:rsidRPr="006775F7">
        <w:rPr>
          <w:lang w:val="es-419"/>
        </w:rPr>
        <w:t>Unidades, largo 2, formato alfanumérico</w:t>
      </w:r>
    </w:p>
    <w:p w14:paraId="70C9508B" w14:textId="0432FFD4" w:rsidR="0084104A" w:rsidRPr="006775F7" w:rsidRDefault="0084104A" w:rsidP="0084104A">
      <w:pPr>
        <w:pBdr>
          <w:top w:val="nil"/>
          <w:left w:val="nil"/>
          <w:bottom w:val="nil"/>
          <w:right w:val="nil"/>
          <w:between w:val="nil"/>
        </w:pBdr>
        <w:ind w:left="720"/>
        <w:rPr>
          <w:lang w:val="es-419"/>
        </w:rPr>
      </w:pPr>
      <w:r w:rsidRPr="006775F7">
        <w:rPr>
          <w:lang w:val="es-419"/>
        </w:rPr>
        <w:lastRenderedPageBreak/>
        <w:t>CU</w:t>
      </w:r>
      <w:r w:rsidRPr="006775F7">
        <w:rPr>
          <w:lang w:val="es-419"/>
        </w:rPr>
        <w:tab/>
      </w:r>
      <w:r w:rsidR="005B7954">
        <w:rPr>
          <w:lang w:val="es-419"/>
        </w:rPr>
        <w:tab/>
      </w:r>
      <w:r w:rsidRPr="006775F7">
        <w:rPr>
          <w:lang w:val="es-419"/>
        </w:rPr>
        <w:t>Cantidad de Unidades, largo 14, formato numérico sin decimales</w:t>
      </w:r>
    </w:p>
    <w:p w14:paraId="7623DE67" w14:textId="338D119A" w:rsidR="0084104A" w:rsidRPr="006775F7" w:rsidRDefault="0084104A" w:rsidP="0084104A">
      <w:pPr>
        <w:pBdr>
          <w:top w:val="nil"/>
          <w:left w:val="nil"/>
          <w:bottom w:val="nil"/>
          <w:right w:val="nil"/>
          <w:between w:val="nil"/>
        </w:pBdr>
        <w:ind w:left="720"/>
        <w:rPr>
          <w:lang w:val="es-419"/>
        </w:rPr>
      </w:pPr>
      <w:r w:rsidRPr="006775F7">
        <w:rPr>
          <w:lang w:val="es-419"/>
        </w:rPr>
        <w:t>FOB</w:t>
      </w:r>
      <w:r w:rsidRPr="006775F7">
        <w:rPr>
          <w:lang w:val="es-419"/>
        </w:rPr>
        <w:tab/>
      </w:r>
      <w:r w:rsidR="005B7954">
        <w:rPr>
          <w:lang w:val="es-419"/>
        </w:rPr>
        <w:tab/>
      </w:r>
      <w:r w:rsidRPr="006775F7">
        <w:rPr>
          <w:lang w:val="es-419"/>
        </w:rPr>
        <w:t>FOB, largo 14, formato numérico sin decimales</w:t>
      </w:r>
    </w:p>
    <w:p w14:paraId="591803A3" w14:textId="45E91384" w:rsidR="0084104A" w:rsidRPr="006775F7" w:rsidRDefault="0084104A" w:rsidP="0084104A">
      <w:pPr>
        <w:pBdr>
          <w:top w:val="nil"/>
          <w:left w:val="nil"/>
          <w:bottom w:val="nil"/>
          <w:right w:val="nil"/>
          <w:between w:val="nil"/>
        </w:pBdr>
        <w:ind w:left="720"/>
        <w:rPr>
          <w:lang w:val="es-419"/>
        </w:rPr>
      </w:pPr>
      <w:r w:rsidRPr="006775F7">
        <w:rPr>
          <w:lang w:val="es-419"/>
        </w:rPr>
        <w:t>Seg</w:t>
      </w:r>
      <w:r w:rsidRPr="006775F7">
        <w:rPr>
          <w:lang w:val="es-419"/>
        </w:rPr>
        <w:tab/>
      </w:r>
      <w:r w:rsidR="005B7954">
        <w:rPr>
          <w:lang w:val="es-419"/>
        </w:rPr>
        <w:tab/>
      </w:r>
      <w:r w:rsidRPr="006775F7">
        <w:rPr>
          <w:lang w:val="es-419"/>
        </w:rPr>
        <w:t>Seguro, largo 14, formato numérico sin decimales</w:t>
      </w:r>
    </w:p>
    <w:p w14:paraId="0950658D" w14:textId="199E8F3D" w:rsidR="0084104A" w:rsidRPr="006775F7" w:rsidRDefault="0084104A" w:rsidP="0084104A">
      <w:pPr>
        <w:pBdr>
          <w:top w:val="nil"/>
          <w:left w:val="nil"/>
          <w:bottom w:val="nil"/>
          <w:right w:val="nil"/>
          <w:between w:val="nil"/>
        </w:pBdr>
        <w:ind w:left="720"/>
        <w:rPr>
          <w:lang w:val="es-419"/>
        </w:rPr>
      </w:pPr>
      <w:r w:rsidRPr="006775F7">
        <w:rPr>
          <w:lang w:val="es-419"/>
        </w:rPr>
        <w:t>Flete</w:t>
      </w:r>
      <w:r w:rsidRPr="006775F7">
        <w:rPr>
          <w:lang w:val="es-419"/>
        </w:rPr>
        <w:tab/>
      </w:r>
      <w:r w:rsidR="005B7954">
        <w:rPr>
          <w:lang w:val="es-419"/>
        </w:rPr>
        <w:tab/>
      </w:r>
      <w:r w:rsidRPr="006775F7">
        <w:rPr>
          <w:lang w:val="es-419"/>
        </w:rPr>
        <w:t>Flete, largo 14, formato numérico sin decimales</w:t>
      </w:r>
    </w:p>
    <w:p w14:paraId="6C5483D3" w14:textId="72E9DA4B" w:rsidR="0084104A" w:rsidRPr="006775F7" w:rsidRDefault="0084104A" w:rsidP="0084104A">
      <w:pPr>
        <w:pBdr>
          <w:top w:val="nil"/>
          <w:left w:val="nil"/>
          <w:bottom w:val="nil"/>
          <w:right w:val="nil"/>
          <w:between w:val="nil"/>
        </w:pBdr>
        <w:ind w:left="720"/>
        <w:rPr>
          <w:lang w:val="es-419"/>
        </w:rPr>
      </w:pPr>
      <w:r w:rsidRPr="006775F7">
        <w:rPr>
          <w:lang w:val="es-419"/>
        </w:rPr>
        <w:t>Grav</w:t>
      </w:r>
      <w:r w:rsidRPr="006775F7">
        <w:rPr>
          <w:lang w:val="es-419"/>
        </w:rPr>
        <w:tab/>
      </w:r>
      <w:r w:rsidR="005B7954">
        <w:rPr>
          <w:lang w:val="es-419"/>
        </w:rPr>
        <w:tab/>
      </w:r>
      <w:r w:rsidRPr="006775F7">
        <w:rPr>
          <w:lang w:val="es-419"/>
        </w:rPr>
        <w:t>Gravamen, largo 14, formato numérico sin decimales</w:t>
      </w:r>
    </w:p>
    <w:p w14:paraId="015218F0" w14:textId="77777777" w:rsidR="0084104A" w:rsidRPr="006775F7" w:rsidRDefault="0084104A" w:rsidP="0084104A">
      <w:pPr>
        <w:pBdr>
          <w:top w:val="nil"/>
          <w:left w:val="nil"/>
          <w:bottom w:val="nil"/>
          <w:right w:val="nil"/>
          <w:between w:val="nil"/>
        </w:pBdr>
        <w:rPr>
          <w:lang w:val="es-419"/>
        </w:rPr>
      </w:pPr>
    </w:p>
    <w:p w14:paraId="4593563A" w14:textId="77777777" w:rsidR="0084104A" w:rsidRPr="006775F7" w:rsidRDefault="0084104A" w:rsidP="005B7954">
      <w:pPr>
        <w:pBdr>
          <w:top w:val="nil"/>
          <w:left w:val="nil"/>
          <w:bottom w:val="nil"/>
          <w:right w:val="nil"/>
          <w:between w:val="nil"/>
        </w:pBdr>
        <w:jc w:val="both"/>
        <w:rPr>
          <w:lang w:val="es-419"/>
        </w:rPr>
      </w:pPr>
      <w:r w:rsidRPr="006775F7">
        <w:rPr>
          <w:lang w:val="es-419"/>
        </w:rPr>
        <w:t>En algunos casos, el país envía los datos con decimales, por lo cual es necesario redondear a 0 decimales.</w:t>
      </w:r>
    </w:p>
    <w:p w14:paraId="405FBAE6" w14:textId="77777777" w:rsidR="0084104A" w:rsidRPr="006775F7" w:rsidRDefault="0084104A" w:rsidP="005B7954">
      <w:pPr>
        <w:pBdr>
          <w:top w:val="nil"/>
          <w:left w:val="nil"/>
          <w:bottom w:val="nil"/>
          <w:right w:val="nil"/>
          <w:between w:val="nil"/>
        </w:pBdr>
        <w:jc w:val="both"/>
        <w:rPr>
          <w:lang w:val="es-419"/>
        </w:rPr>
      </w:pPr>
    </w:p>
    <w:p w14:paraId="3391E7F7" w14:textId="21FC3FA0" w:rsidR="0084104A" w:rsidRPr="006775F7" w:rsidRDefault="00CD6744" w:rsidP="0084104A">
      <w:pPr>
        <w:numPr>
          <w:ilvl w:val="0"/>
          <w:numId w:val="7"/>
        </w:numPr>
        <w:pBdr>
          <w:top w:val="nil"/>
          <w:left w:val="nil"/>
          <w:bottom w:val="nil"/>
          <w:right w:val="nil"/>
          <w:between w:val="nil"/>
        </w:pBdr>
        <w:spacing w:line="259" w:lineRule="auto"/>
        <w:rPr>
          <w:lang w:val="es-419"/>
        </w:rPr>
      </w:pPr>
      <w:r w:rsidRPr="006775F7">
        <w:rPr>
          <w:lang w:val="es-419"/>
        </w:rPr>
        <w:t>Validación del comercio</w:t>
      </w:r>
      <w:r w:rsidR="0084104A" w:rsidRPr="006775F7">
        <w:rPr>
          <w:lang w:val="es-419"/>
        </w:rPr>
        <w:t>:</w:t>
      </w:r>
    </w:p>
    <w:p w14:paraId="7F7CC379" w14:textId="77777777" w:rsidR="0084104A" w:rsidRPr="006775F7" w:rsidRDefault="0084104A" w:rsidP="0084104A">
      <w:pPr>
        <w:numPr>
          <w:ilvl w:val="0"/>
          <w:numId w:val="9"/>
        </w:numPr>
        <w:pBdr>
          <w:top w:val="nil"/>
          <w:left w:val="nil"/>
          <w:bottom w:val="nil"/>
          <w:right w:val="nil"/>
          <w:between w:val="nil"/>
        </w:pBdr>
        <w:spacing w:line="259" w:lineRule="auto"/>
        <w:rPr>
          <w:lang w:val="es-419"/>
        </w:rPr>
      </w:pPr>
      <w:r w:rsidRPr="006775F7">
        <w:rPr>
          <w:lang w:val="es-419"/>
        </w:rPr>
        <w:t>Validaciones de las distintas variables de comercio a procesar,</w:t>
      </w:r>
    </w:p>
    <w:p w14:paraId="7063E381" w14:textId="77777777" w:rsidR="0084104A" w:rsidRPr="006775F7" w:rsidRDefault="0084104A" w:rsidP="0084104A">
      <w:pPr>
        <w:numPr>
          <w:ilvl w:val="0"/>
          <w:numId w:val="9"/>
        </w:numPr>
        <w:pBdr>
          <w:top w:val="nil"/>
          <w:left w:val="nil"/>
          <w:bottom w:val="nil"/>
          <w:right w:val="nil"/>
          <w:between w:val="nil"/>
        </w:pBdr>
        <w:spacing w:line="259" w:lineRule="auto"/>
        <w:rPr>
          <w:lang w:val="es-419"/>
        </w:rPr>
      </w:pPr>
      <w:r w:rsidRPr="006775F7">
        <w:rPr>
          <w:lang w:val="es-419"/>
        </w:rPr>
        <w:t>Modificaciones automáticas de ciertos códigos,</w:t>
      </w:r>
    </w:p>
    <w:p w14:paraId="431BB117" w14:textId="77777777" w:rsidR="0084104A" w:rsidRPr="006775F7" w:rsidRDefault="0084104A" w:rsidP="0084104A">
      <w:pPr>
        <w:numPr>
          <w:ilvl w:val="0"/>
          <w:numId w:val="9"/>
        </w:numPr>
        <w:pBdr>
          <w:top w:val="nil"/>
          <w:left w:val="nil"/>
          <w:bottom w:val="nil"/>
          <w:right w:val="nil"/>
          <w:between w:val="nil"/>
        </w:pBdr>
        <w:spacing w:after="160" w:line="259" w:lineRule="auto"/>
        <w:rPr>
          <w:lang w:val="es-419"/>
        </w:rPr>
      </w:pPr>
      <w:r w:rsidRPr="006775F7">
        <w:rPr>
          <w:lang w:val="es-419"/>
        </w:rPr>
        <w:t>Modificaciones ingresadas manualmente por el usuario propietario.</w:t>
      </w:r>
    </w:p>
    <w:p w14:paraId="1865A87C" w14:textId="77777777" w:rsidR="0084104A" w:rsidRPr="006775F7" w:rsidRDefault="0084104A" w:rsidP="005B7954">
      <w:pPr>
        <w:pBdr>
          <w:top w:val="nil"/>
          <w:left w:val="nil"/>
          <w:bottom w:val="nil"/>
          <w:right w:val="nil"/>
          <w:between w:val="nil"/>
        </w:pBdr>
        <w:jc w:val="both"/>
        <w:rPr>
          <w:lang w:val="es-419"/>
        </w:rPr>
      </w:pPr>
      <w:r w:rsidRPr="006775F7">
        <w:rPr>
          <w:lang w:val="es-419"/>
        </w:rPr>
        <w:t>Dado que se trata de 13 casos distintos, la casuística es bastante grande. Si bien hay definidos una serie de códigos comunes para que la información de las distintas variables sea comparable, muchas veces el país manda códigos propios y es necesario modificar la información, llevando esos códigos propios a códigos ALADI. En otros casos hay errores que se deben marcar para su corrección posterior por parte de los usuarios que gestionan el módulo.</w:t>
      </w:r>
    </w:p>
    <w:p w14:paraId="0EFD4A75" w14:textId="77777777" w:rsidR="0084104A" w:rsidRPr="006775F7" w:rsidRDefault="0084104A" w:rsidP="005B7954">
      <w:pPr>
        <w:pBdr>
          <w:top w:val="nil"/>
          <w:left w:val="nil"/>
          <w:bottom w:val="nil"/>
          <w:right w:val="nil"/>
          <w:between w:val="nil"/>
        </w:pBdr>
        <w:jc w:val="both"/>
        <w:rPr>
          <w:lang w:val="es-419"/>
        </w:rPr>
      </w:pPr>
      <w:r w:rsidRPr="006775F7">
        <w:rPr>
          <w:lang w:val="es-419"/>
        </w:rPr>
        <w:t>Dado que cada país envía los datos de comercio en la nomenclatura nacional, se deben realizar chequeos contra el arancel nacional del país a la fecha a procesar. Asimismo, debe revisarse la subpartida del SA, respecto a la enmienda en la que esté informado el comercio. Los errores detectados en ambos casos deben reportarse y las correcciones deben mantenerse a efectos de facilitar las revisiones futuras.</w:t>
      </w:r>
    </w:p>
    <w:p w14:paraId="261E20D4" w14:textId="77777777" w:rsidR="0084104A" w:rsidRPr="006775F7" w:rsidRDefault="0084104A" w:rsidP="0084104A">
      <w:pPr>
        <w:pBdr>
          <w:top w:val="nil"/>
          <w:left w:val="nil"/>
          <w:bottom w:val="nil"/>
          <w:right w:val="nil"/>
          <w:between w:val="nil"/>
        </w:pBdr>
        <w:rPr>
          <w:lang w:val="es-419"/>
        </w:rPr>
      </w:pPr>
    </w:p>
    <w:p w14:paraId="6CDE32F0" w14:textId="6521B46A" w:rsidR="0084104A" w:rsidRPr="006775F7" w:rsidRDefault="00CD6744" w:rsidP="0084104A">
      <w:pPr>
        <w:numPr>
          <w:ilvl w:val="0"/>
          <w:numId w:val="7"/>
        </w:numPr>
        <w:pBdr>
          <w:top w:val="nil"/>
          <w:left w:val="nil"/>
          <w:bottom w:val="nil"/>
          <w:right w:val="nil"/>
          <w:between w:val="nil"/>
        </w:pBdr>
        <w:spacing w:line="259" w:lineRule="auto"/>
        <w:rPr>
          <w:lang w:val="es-419"/>
        </w:rPr>
      </w:pPr>
      <w:r w:rsidRPr="006775F7">
        <w:rPr>
          <w:lang w:val="es-419"/>
        </w:rPr>
        <w:t>Monitoreo del proceso</w:t>
      </w:r>
      <w:r w:rsidR="0084104A" w:rsidRPr="006775F7">
        <w:rPr>
          <w:lang w:val="es-419"/>
        </w:rPr>
        <w:t>:</w:t>
      </w:r>
    </w:p>
    <w:p w14:paraId="23551DCC" w14:textId="77777777" w:rsidR="0084104A" w:rsidRPr="006775F7" w:rsidRDefault="0084104A" w:rsidP="0084104A">
      <w:pPr>
        <w:numPr>
          <w:ilvl w:val="0"/>
          <w:numId w:val="10"/>
        </w:numPr>
        <w:pBdr>
          <w:top w:val="nil"/>
          <w:left w:val="nil"/>
          <w:bottom w:val="nil"/>
          <w:right w:val="nil"/>
          <w:between w:val="nil"/>
        </w:pBdr>
        <w:spacing w:line="259" w:lineRule="auto"/>
        <w:rPr>
          <w:lang w:val="es-419"/>
        </w:rPr>
      </w:pPr>
      <w:r w:rsidRPr="006775F7">
        <w:rPr>
          <w:lang w:val="es-419"/>
        </w:rPr>
        <w:t xml:space="preserve">Realizar el monitoreo del proceso de validación de comercio y </w:t>
      </w:r>
    </w:p>
    <w:p w14:paraId="1364D149" w14:textId="77777777" w:rsidR="0084104A" w:rsidRPr="006775F7" w:rsidRDefault="0084104A" w:rsidP="0084104A">
      <w:pPr>
        <w:numPr>
          <w:ilvl w:val="0"/>
          <w:numId w:val="10"/>
        </w:numPr>
        <w:pBdr>
          <w:top w:val="nil"/>
          <w:left w:val="nil"/>
          <w:bottom w:val="nil"/>
          <w:right w:val="nil"/>
          <w:between w:val="nil"/>
        </w:pBdr>
        <w:spacing w:after="160" w:line="259" w:lineRule="auto"/>
        <w:rPr>
          <w:lang w:val="es-419"/>
        </w:rPr>
      </w:pPr>
      <w:r w:rsidRPr="006775F7">
        <w:rPr>
          <w:lang w:val="es-419"/>
        </w:rPr>
        <w:t>Regresar a etapas anteriores (ya sea por error en una etapa/proceso o por voluntad del operador).</w:t>
      </w:r>
    </w:p>
    <w:p w14:paraId="1DBD9D83" w14:textId="77777777" w:rsidR="0084104A" w:rsidRPr="006775F7" w:rsidRDefault="0084104A" w:rsidP="0084104A">
      <w:pPr>
        <w:pBdr>
          <w:top w:val="nil"/>
          <w:left w:val="nil"/>
          <w:bottom w:val="nil"/>
          <w:right w:val="nil"/>
          <w:between w:val="nil"/>
        </w:pBdr>
        <w:rPr>
          <w:lang w:val="es-419"/>
        </w:rPr>
      </w:pPr>
    </w:p>
    <w:p w14:paraId="0E5062B7" w14:textId="591337CC" w:rsidR="0084104A" w:rsidRPr="006775F7" w:rsidRDefault="0084104A" w:rsidP="0084104A">
      <w:pPr>
        <w:numPr>
          <w:ilvl w:val="0"/>
          <w:numId w:val="7"/>
        </w:numPr>
        <w:pBdr>
          <w:top w:val="nil"/>
          <w:left w:val="nil"/>
          <w:bottom w:val="nil"/>
          <w:right w:val="nil"/>
          <w:between w:val="nil"/>
        </w:pBdr>
        <w:spacing w:line="259" w:lineRule="auto"/>
        <w:rPr>
          <w:lang w:val="es-419"/>
        </w:rPr>
      </w:pPr>
      <w:r w:rsidRPr="006775F7">
        <w:rPr>
          <w:lang w:val="es-419"/>
        </w:rPr>
        <w:t>Asignación del comercio negociado según lo establecido en el Manual de Instrucciones contemplando:</w:t>
      </w:r>
    </w:p>
    <w:p w14:paraId="3CE7BBD4" w14:textId="77777777" w:rsidR="0084104A" w:rsidRPr="006775F7" w:rsidRDefault="0084104A" w:rsidP="0084104A">
      <w:pPr>
        <w:numPr>
          <w:ilvl w:val="0"/>
          <w:numId w:val="8"/>
        </w:numPr>
        <w:pBdr>
          <w:top w:val="nil"/>
          <w:left w:val="nil"/>
          <w:bottom w:val="nil"/>
          <w:right w:val="nil"/>
          <w:between w:val="nil"/>
        </w:pBdr>
        <w:spacing w:line="259" w:lineRule="auto"/>
        <w:rPr>
          <w:lang w:val="es-419"/>
        </w:rPr>
      </w:pPr>
      <w:r w:rsidRPr="006775F7">
        <w:rPr>
          <w:lang w:val="es-419"/>
        </w:rPr>
        <w:t xml:space="preserve">Países que informan (parcial o totalmente), </w:t>
      </w:r>
    </w:p>
    <w:p w14:paraId="07BAC682" w14:textId="4597436D" w:rsidR="0084104A" w:rsidRPr="0025652D" w:rsidRDefault="0084104A" w:rsidP="0025652D">
      <w:pPr>
        <w:numPr>
          <w:ilvl w:val="0"/>
          <w:numId w:val="8"/>
        </w:numPr>
        <w:pBdr>
          <w:top w:val="nil"/>
          <w:left w:val="nil"/>
          <w:bottom w:val="nil"/>
          <w:right w:val="nil"/>
          <w:between w:val="nil"/>
        </w:pBdr>
        <w:spacing w:after="160" w:line="259" w:lineRule="auto"/>
        <w:rPr>
          <w:lang w:val="es-419"/>
        </w:rPr>
      </w:pPr>
      <w:r w:rsidRPr="006775F7">
        <w:rPr>
          <w:lang w:val="es-419"/>
        </w:rPr>
        <w:t>Países que no informan.</w:t>
      </w:r>
    </w:p>
    <w:p w14:paraId="235E1A75" w14:textId="77777777" w:rsidR="0084104A" w:rsidRPr="006775F7" w:rsidRDefault="0084104A" w:rsidP="0084104A">
      <w:pPr>
        <w:pBdr>
          <w:top w:val="nil"/>
          <w:left w:val="nil"/>
          <w:bottom w:val="nil"/>
          <w:right w:val="nil"/>
          <w:between w:val="nil"/>
        </w:pBdr>
        <w:rPr>
          <w:lang w:val="es-419"/>
        </w:rPr>
      </w:pPr>
    </w:p>
    <w:p w14:paraId="6C29BAF1" w14:textId="77777777" w:rsidR="0084104A" w:rsidRPr="006775F7" w:rsidRDefault="0084104A" w:rsidP="0084104A">
      <w:pPr>
        <w:numPr>
          <w:ilvl w:val="0"/>
          <w:numId w:val="7"/>
        </w:numPr>
        <w:pBdr>
          <w:top w:val="nil"/>
          <w:left w:val="nil"/>
          <w:bottom w:val="nil"/>
          <w:right w:val="nil"/>
          <w:between w:val="nil"/>
        </w:pBdr>
        <w:spacing w:after="160" w:line="259" w:lineRule="auto"/>
        <w:rPr>
          <w:lang w:val="es-419"/>
        </w:rPr>
      </w:pPr>
      <w:r w:rsidRPr="006775F7">
        <w:rPr>
          <w:lang w:val="es-419"/>
        </w:rPr>
        <w:t>Consultas parametrizables, que permitan seleccionar:</w:t>
      </w:r>
    </w:p>
    <w:p w14:paraId="17F5917C" w14:textId="77777777" w:rsidR="0084104A" w:rsidRPr="006775F7" w:rsidRDefault="0084104A" w:rsidP="0084104A">
      <w:pPr>
        <w:pBdr>
          <w:top w:val="nil"/>
          <w:left w:val="nil"/>
          <w:bottom w:val="nil"/>
          <w:right w:val="nil"/>
          <w:between w:val="nil"/>
        </w:pBdr>
        <w:ind w:left="720"/>
        <w:rPr>
          <w:lang w:val="es-419"/>
        </w:rPr>
      </w:pPr>
      <w:r w:rsidRPr="006775F7">
        <w:rPr>
          <w:lang w:val="es-419"/>
        </w:rPr>
        <w:t>•</w:t>
      </w:r>
      <w:r w:rsidRPr="006775F7">
        <w:rPr>
          <w:lang w:val="es-419"/>
        </w:rPr>
        <w:tab/>
        <w:t xml:space="preserve">variables a incluir en el reporte, </w:t>
      </w:r>
    </w:p>
    <w:p w14:paraId="42DB051C" w14:textId="77777777" w:rsidR="0084104A" w:rsidRPr="006775F7" w:rsidRDefault="0084104A" w:rsidP="0084104A">
      <w:pPr>
        <w:pBdr>
          <w:top w:val="nil"/>
          <w:left w:val="nil"/>
          <w:bottom w:val="nil"/>
          <w:right w:val="nil"/>
          <w:between w:val="nil"/>
        </w:pBdr>
        <w:ind w:left="720"/>
        <w:rPr>
          <w:lang w:val="es-419"/>
        </w:rPr>
      </w:pPr>
      <w:r w:rsidRPr="006775F7">
        <w:rPr>
          <w:lang w:val="es-419"/>
        </w:rPr>
        <w:t>•</w:t>
      </w:r>
      <w:r w:rsidRPr="006775F7">
        <w:rPr>
          <w:lang w:val="es-419"/>
        </w:rPr>
        <w:tab/>
        <w:t xml:space="preserve">variables por las que se desea ordenar, </w:t>
      </w:r>
    </w:p>
    <w:p w14:paraId="675FCC73" w14:textId="77777777" w:rsidR="0084104A" w:rsidRPr="006775F7" w:rsidRDefault="0084104A" w:rsidP="0084104A">
      <w:pPr>
        <w:pBdr>
          <w:top w:val="nil"/>
          <w:left w:val="nil"/>
          <w:bottom w:val="nil"/>
          <w:right w:val="nil"/>
          <w:between w:val="nil"/>
        </w:pBdr>
        <w:ind w:left="720"/>
        <w:rPr>
          <w:lang w:val="es-419"/>
        </w:rPr>
      </w:pPr>
      <w:r w:rsidRPr="006775F7">
        <w:rPr>
          <w:lang w:val="es-419"/>
        </w:rPr>
        <w:t>•</w:t>
      </w:r>
      <w:r w:rsidRPr="006775F7">
        <w:rPr>
          <w:lang w:val="es-419"/>
        </w:rPr>
        <w:tab/>
        <w:t>funciones de sumarización a aplicar al conjunto de datos,</w:t>
      </w:r>
    </w:p>
    <w:p w14:paraId="61334A57" w14:textId="77777777" w:rsidR="0084104A" w:rsidRPr="005B7954" w:rsidRDefault="0084104A" w:rsidP="0084104A">
      <w:pPr>
        <w:pBdr>
          <w:top w:val="nil"/>
          <w:left w:val="nil"/>
          <w:bottom w:val="nil"/>
          <w:right w:val="nil"/>
          <w:between w:val="nil"/>
        </w:pBdr>
        <w:ind w:left="720"/>
        <w:rPr>
          <w:lang w:val="pt-BR"/>
        </w:rPr>
      </w:pPr>
      <w:r w:rsidRPr="005B7954">
        <w:rPr>
          <w:lang w:val="pt-BR"/>
        </w:rPr>
        <w:t>•</w:t>
      </w:r>
      <w:r w:rsidRPr="005B7954">
        <w:rPr>
          <w:lang w:val="pt-BR"/>
        </w:rPr>
        <w:tab/>
        <w:t xml:space="preserve">período a considerar, </w:t>
      </w:r>
    </w:p>
    <w:p w14:paraId="07B7E166" w14:textId="77777777" w:rsidR="0084104A" w:rsidRPr="005B7954" w:rsidRDefault="0084104A" w:rsidP="0084104A">
      <w:pPr>
        <w:pBdr>
          <w:top w:val="nil"/>
          <w:left w:val="nil"/>
          <w:bottom w:val="nil"/>
          <w:right w:val="nil"/>
          <w:between w:val="nil"/>
        </w:pBdr>
        <w:ind w:left="720"/>
        <w:rPr>
          <w:lang w:val="pt-BR"/>
        </w:rPr>
      </w:pPr>
      <w:r w:rsidRPr="005B7954">
        <w:rPr>
          <w:lang w:val="pt-BR"/>
        </w:rPr>
        <w:t>•</w:t>
      </w:r>
      <w:r w:rsidRPr="005B7954">
        <w:rPr>
          <w:lang w:val="pt-BR"/>
        </w:rPr>
        <w:tab/>
        <w:t xml:space="preserve">formato de salida (CSV, Excel). </w:t>
      </w:r>
    </w:p>
    <w:p w14:paraId="344EA7D9" w14:textId="77777777" w:rsidR="0084104A" w:rsidRPr="005B7954" w:rsidRDefault="0084104A" w:rsidP="0084104A">
      <w:pPr>
        <w:rPr>
          <w:sz w:val="28"/>
          <w:szCs w:val="28"/>
          <w:lang w:val="pt-BR"/>
        </w:rPr>
      </w:pPr>
    </w:p>
    <w:p w14:paraId="71BF0AA8" w14:textId="77777777" w:rsidR="00CD6744" w:rsidRPr="005B7954" w:rsidRDefault="00CD6744" w:rsidP="0084104A">
      <w:pPr>
        <w:rPr>
          <w:sz w:val="28"/>
          <w:szCs w:val="28"/>
          <w:lang w:val="pt-BR"/>
        </w:rPr>
      </w:pPr>
    </w:p>
    <w:p w14:paraId="488A0699" w14:textId="77777777" w:rsidR="0084104A" w:rsidRPr="006775F7" w:rsidRDefault="0084104A" w:rsidP="0084104A">
      <w:pPr>
        <w:rPr>
          <w:lang w:val="es-419"/>
        </w:rPr>
      </w:pPr>
      <w:r w:rsidRPr="006775F7">
        <w:rPr>
          <w:sz w:val="28"/>
          <w:szCs w:val="28"/>
          <w:lang w:val="es-419"/>
        </w:rPr>
        <w:t>Preferencias arancelarias</w:t>
      </w:r>
    </w:p>
    <w:p w14:paraId="7DC2F2ED" w14:textId="77777777" w:rsidR="0084104A" w:rsidRPr="006775F7" w:rsidRDefault="0084104A" w:rsidP="0084104A">
      <w:pPr>
        <w:rPr>
          <w:lang w:val="es-419"/>
        </w:rPr>
      </w:pPr>
    </w:p>
    <w:p w14:paraId="03B570D8" w14:textId="1AE287A1" w:rsidR="009B7F7B" w:rsidRPr="006775F7" w:rsidRDefault="009B7F7B" w:rsidP="005B7954">
      <w:pPr>
        <w:jc w:val="both"/>
        <w:rPr>
          <w:lang w:val="es-419"/>
        </w:rPr>
      </w:pPr>
      <w:r w:rsidRPr="006775F7">
        <w:rPr>
          <w:lang w:val="es-419"/>
        </w:rPr>
        <w:t xml:space="preserve">Los países Miembros de la ALADI pueden celebrar acuerdos entre sí, que pueden ser Acuerdos de Alcance Parcial, en los que no participan la totalidad de los países Miembros, o Acuerdos en los que participan todos los países, </w:t>
      </w:r>
      <w:r w:rsidR="00BA42B1" w:rsidRPr="006775F7">
        <w:rPr>
          <w:lang w:val="es-419"/>
        </w:rPr>
        <w:t xml:space="preserve">que se conocen como </w:t>
      </w:r>
      <w:r w:rsidRPr="006775F7">
        <w:rPr>
          <w:lang w:val="es-419"/>
        </w:rPr>
        <w:t xml:space="preserve">Acuerdos Regionales. No obstante, es posible celebrar acuerdos con otros países de América Latina, que no son parte de la ALADI (acuerdos del Art. 25 del </w:t>
      </w:r>
      <w:r w:rsidR="00147CE0" w:rsidRPr="006775F7">
        <w:rPr>
          <w:lang w:val="es-419"/>
        </w:rPr>
        <w:t>T</w:t>
      </w:r>
      <w:r w:rsidRPr="006775F7">
        <w:rPr>
          <w:lang w:val="es-419"/>
        </w:rPr>
        <w:t>ratado).</w:t>
      </w:r>
    </w:p>
    <w:p w14:paraId="157ABDA5" w14:textId="77777777" w:rsidR="009B7F7B" w:rsidRPr="006775F7" w:rsidRDefault="009B7F7B" w:rsidP="005B7954">
      <w:pPr>
        <w:jc w:val="both"/>
        <w:rPr>
          <w:lang w:val="es-419"/>
        </w:rPr>
      </w:pPr>
    </w:p>
    <w:p w14:paraId="23B6EE0B" w14:textId="7B3B5D80" w:rsidR="009B7F7B" w:rsidRPr="006775F7" w:rsidRDefault="009B7F7B" w:rsidP="005B7954">
      <w:pPr>
        <w:jc w:val="both"/>
        <w:rPr>
          <w:lang w:val="es-419"/>
        </w:rPr>
      </w:pPr>
      <w:r w:rsidRPr="006775F7">
        <w:rPr>
          <w:lang w:val="es-419"/>
        </w:rPr>
        <w:t>En algunos casos, el contenido de los Acuerdos puede incluir la concesión de preferencias</w:t>
      </w:r>
      <w:r w:rsidR="00BA42B1" w:rsidRPr="006775F7">
        <w:rPr>
          <w:lang w:val="es-419"/>
        </w:rPr>
        <w:t>, q</w:t>
      </w:r>
      <w:r w:rsidRPr="006775F7">
        <w:rPr>
          <w:lang w:val="es-419"/>
        </w:rPr>
        <w:t>ue consisten en una reducción de los gravámenes que se aplican a las importaciones desde terceros países.</w:t>
      </w:r>
      <w:r w:rsidRPr="006775F7">
        <w:rPr>
          <w:color w:val="808080"/>
          <w:shd w:val="clear" w:color="auto" w:fill="FFFFFF"/>
          <w:lang w:val="es-419"/>
        </w:rPr>
        <w:t xml:space="preserve"> Establece una v</w:t>
      </w:r>
      <w:r w:rsidRPr="006775F7">
        <w:rPr>
          <w:lang w:val="es-419"/>
        </w:rPr>
        <w:t xml:space="preserve">entaja que beneficia a las importaciones de los productos negociados y originarios de los países participantes de un determinado acuerdo. </w:t>
      </w:r>
    </w:p>
    <w:p w14:paraId="1206B285" w14:textId="77777777" w:rsidR="009B7F7B" w:rsidRPr="006775F7" w:rsidRDefault="009B7F7B" w:rsidP="005B7954">
      <w:pPr>
        <w:jc w:val="both"/>
        <w:rPr>
          <w:lang w:val="es-419"/>
        </w:rPr>
      </w:pPr>
    </w:p>
    <w:p w14:paraId="181808F5" w14:textId="77777777" w:rsidR="00BA42B1" w:rsidRPr="006775F7" w:rsidRDefault="00BA42B1" w:rsidP="005B7954">
      <w:pPr>
        <w:jc w:val="both"/>
        <w:rPr>
          <w:lang w:val="es-419"/>
        </w:rPr>
      </w:pPr>
      <w:r w:rsidRPr="006775F7">
        <w:rPr>
          <w:lang w:val="es-419"/>
        </w:rPr>
        <w:t xml:space="preserve">El módulo de preferencias gestiona dichas concesiones. Las preferencias pueden ser: </w:t>
      </w:r>
    </w:p>
    <w:p w14:paraId="181B5AF2" w14:textId="4DEAB6FD" w:rsidR="00BA42B1" w:rsidRPr="006775F7" w:rsidRDefault="00BA42B1" w:rsidP="005B7954">
      <w:pPr>
        <w:jc w:val="both"/>
        <w:rPr>
          <w:lang w:val="es-419"/>
        </w:rPr>
      </w:pPr>
      <w:r w:rsidRPr="006775F7">
        <w:rPr>
          <w:lang w:val="es-419"/>
        </w:rPr>
        <w:t xml:space="preserve">-porcentuales, que consisten en una reducción porcentual de los gravámenes aplicados a las importaciones desde terceros o </w:t>
      </w:r>
    </w:p>
    <w:p w14:paraId="698DDD1B" w14:textId="2D107BB1" w:rsidR="00147CE0" w:rsidRPr="006775F7" w:rsidRDefault="00BA42B1" w:rsidP="005B7954">
      <w:pPr>
        <w:jc w:val="both"/>
        <w:rPr>
          <w:lang w:val="es-419"/>
        </w:rPr>
      </w:pPr>
      <w:r w:rsidRPr="006775F7">
        <w:rPr>
          <w:lang w:val="es-419"/>
        </w:rPr>
        <w:t>-Gravamen Preferencial Acordado</w:t>
      </w:r>
      <w:r w:rsidR="0064015D" w:rsidRPr="006775F7">
        <w:rPr>
          <w:lang w:val="es-419"/>
        </w:rPr>
        <w:t xml:space="preserve"> (GPA)</w:t>
      </w:r>
      <w:r w:rsidRPr="006775F7">
        <w:rPr>
          <w:lang w:val="es-419"/>
        </w:rPr>
        <w:t>, establece el gravamen aplicable a la importación de los productos negociados</w:t>
      </w:r>
      <w:r w:rsidR="00147CE0" w:rsidRPr="006775F7">
        <w:rPr>
          <w:lang w:val="es-419"/>
        </w:rPr>
        <w:t>.</w:t>
      </w:r>
    </w:p>
    <w:p w14:paraId="1E83DD90" w14:textId="77777777" w:rsidR="00147CE0" w:rsidRPr="006775F7" w:rsidRDefault="00147CE0" w:rsidP="005B7954">
      <w:pPr>
        <w:jc w:val="both"/>
        <w:rPr>
          <w:lang w:val="es-419"/>
        </w:rPr>
      </w:pPr>
    </w:p>
    <w:p w14:paraId="4B037D68" w14:textId="75F90708" w:rsidR="00BA42B1" w:rsidRPr="006775F7" w:rsidRDefault="00147CE0" w:rsidP="005B7954">
      <w:pPr>
        <w:jc w:val="both"/>
        <w:rPr>
          <w:lang w:val="es-419"/>
        </w:rPr>
      </w:pPr>
      <w:r w:rsidRPr="006775F7">
        <w:rPr>
          <w:lang w:val="es-419"/>
        </w:rPr>
        <w:t>Las preferencias tienen un Tipo, Número, Letra del Acuerdo que identifica el Acuerdo a que corresponde, una Lista de Países en dicho Acuerdo, y un Otorgante que es el país que otorga el beneficio</w:t>
      </w:r>
      <w:r w:rsidR="0064015D" w:rsidRPr="006775F7">
        <w:rPr>
          <w:lang w:val="es-419"/>
        </w:rPr>
        <w:t xml:space="preserve">, </w:t>
      </w:r>
      <w:r w:rsidRPr="006775F7">
        <w:rPr>
          <w:lang w:val="es-419"/>
        </w:rPr>
        <w:t>tiene una fecha de vigencia, y puede tener asociadas observaciones de distinto tipo (de nomenclatura, de producto, de cronograma, de requisitos de origen, entre otras).</w:t>
      </w:r>
      <w:r w:rsidR="00BA42B1" w:rsidRPr="006775F7">
        <w:rPr>
          <w:lang w:val="es-419"/>
        </w:rPr>
        <w:t xml:space="preserve"> </w:t>
      </w:r>
      <w:r w:rsidR="0064015D" w:rsidRPr="006775F7">
        <w:rPr>
          <w:lang w:val="es-419"/>
        </w:rPr>
        <w:t>Se definen a nivel de item arancelario NALADISA expresada en alguna de las enmiendas del SA. Un item arancelario dado puede tener más de un nivel de preferencias y distintas observaciones. La preferencia tiene un tipo, si es porcentual, o GPA, si es ad-valorem o específico, y tendrá el valor correspondiente a la misma.</w:t>
      </w:r>
    </w:p>
    <w:p w14:paraId="34347A99" w14:textId="77777777" w:rsidR="00147CE0" w:rsidRPr="006775F7" w:rsidRDefault="00147CE0" w:rsidP="005B7954">
      <w:pPr>
        <w:jc w:val="both"/>
        <w:rPr>
          <w:lang w:val="es-419"/>
        </w:rPr>
      </w:pPr>
    </w:p>
    <w:p w14:paraId="5D0CD077" w14:textId="77777777" w:rsidR="00BA42B1" w:rsidRPr="006775F7" w:rsidRDefault="00BA42B1" w:rsidP="0084104A">
      <w:pPr>
        <w:rPr>
          <w:lang w:val="es-419"/>
        </w:rPr>
      </w:pPr>
    </w:p>
    <w:p w14:paraId="722C0275" w14:textId="77777777" w:rsidR="0084104A" w:rsidRPr="006775F7" w:rsidRDefault="0084104A" w:rsidP="0084104A">
      <w:pPr>
        <w:rPr>
          <w:lang w:val="es-419"/>
        </w:rPr>
      </w:pPr>
      <w:r w:rsidRPr="006775F7">
        <w:rPr>
          <w:lang w:val="es-419"/>
        </w:rPr>
        <w:t>Las funcionalidades del módulo de Preferencias arancelarias relativas a las altas, bajas y modificaciones están organizadas en 3 grupos:</w:t>
      </w:r>
    </w:p>
    <w:p w14:paraId="1D672B68" w14:textId="77777777" w:rsidR="0084104A" w:rsidRPr="006775F7" w:rsidRDefault="0084104A" w:rsidP="0084104A">
      <w:pPr>
        <w:numPr>
          <w:ilvl w:val="0"/>
          <w:numId w:val="14"/>
        </w:numPr>
        <w:pBdr>
          <w:top w:val="nil"/>
          <w:left w:val="nil"/>
          <w:bottom w:val="nil"/>
          <w:right w:val="nil"/>
          <w:between w:val="nil"/>
        </w:pBdr>
        <w:spacing w:line="259" w:lineRule="auto"/>
        <w:rPr>
          <w:lang w:val="es-419"/>
        </w:rPr>
      </w:pPr>
      <w:r w:rsidRPr="006775F7">
        <w:rPr>
          <w:color w:val="000000"/>
          <w:lang w:val="es-419"/>
        </w:rPr>
        <w:t>Tablas comunes</w:t>
      </w:r>
    </w:p>
    <w:p w14:paraId="19F8F3A6" w14:textId="77777777" w:rsidR="0084104A" w:rsidRPr="006775F7" w:rsidRDefault="0084104A" w:rsidP="0084104A">
      <w:pPr>
        <w:pBdr>
          <w:top w:val="nil"/>
          <w:left w:val="nil"/>
          <w:bottom w:val="nil"/>
          <w:right w:val="nil"/>
          <w:between w:val="nil"/>
        </w:pBdr>
        <w:ind w:left="720"/>
        <w:rPr>
          <w:color w:val="000000"/>
          <w:lang w:val="es-419"/>
        </w:rPr>
      </w:pPr>
      <w:r w:rsidRPr="006775F7">
        <w:rPr>
          <w:color w:val="000000"/>
          <w:lang w:val="es-419"/>
        </w:rPr>
        <w:t>Acuerdos</w:t>
      </w:r>
    </w:p>
    <w:p w14:paraId="7EA7E9FD" w14:textId="77777777" w:rsidR="0084104A" w:rsidRPr="006775F7" w:rsidRDefault="0084104A" w:rsidP="0084104A">
      <w:pPr>
        <w:pBdr>
          <w:top w:val="nil"/>
          <w:left w:val="nil"/>
          <w:bottom w:val="nil"/>
          <w:right w:val="nil"/>
          <w:between w:val="nil"/>
        </w:pBdr>
        <w:ind w:left="720"/>
        <w:rPr>
          <w:color w:val="000000"/>
          <w:lang w:val="es-419"/>
        </w:rPr>
      </w:pPr>
      <w:r w:rsidRPr="006775F7">
        <w:rPr>
          <w:color w:val="000000"/>
          <w:lang w:val="es-419"/>
        </w:rPr>
        <w:t>Protocolos</w:t>
      </w:r>
    </w:p>
    <w:p w14:paraId="0AC88214" w14:textId="77777777" w:rsidR="0084104A" w:rsidRPr="006775F7" w:rsidRDefault="0084104A" w:rsidP="0084104A">
      <w:pPr>
        <w:pBdr>
          <w:top w:val="nil"/>
          <w:left w:val="nil"/>
          <w:bottom w:val="nil"/>
          <w:right w:val="nil"/>
          <w:between w:val="nil"/>
        </w:pBdr>
        <w:ind w:left="720"/>
        <w:rPr>
          <w:color w:val="000000"/>
          <w:lang w:val="es-419"/>
        </w:rPr>
      </w:pPr>
      <w:r w:rsidRPr="006775F7">
        <w:rPr>
          <w:color w:val="000000"/>
          <w:lang w:val="es-419"/>
        </w:rPr>
        <w:t>Códigos de listas</w:t>
      </w:r>
    </w:p>
    <w:p w14:paraId="4932F3C9" w14:textId="77777777" w:rsidR="0084104A" w:rsidRPr="006775F7" w:rsidRDefault="0084104A" w:rsidP="0084104A">
      <w:pPr>
        <w:pBdr>
          <w:top w:val="nil"/>
          <w:left w:val="nil"/>
          <w:bottom w:val="nil"/>
          <w:right w:val="nil"/>
          <w:between w:val="nil"/>
        </w:pBdr>
        <w:ind w:left="720"/>
        <w:rPr>
          <w:color w:val="000000"/>
          <w:lang w:val="es-419"/>
        </w:rPr>
      </w:pPr>
      <w:r w:rsidRPr="006775F7">
        <w:rPr>
          <w:color w:val="000000"/>
          <w:lang w:val="es-419"/>
        </w:rPr>
        <w:t>Listas</w:t>
      </w:r>
    </w:p>
    <w:p w14:paraId="42BF3A8A" w14:textId="77777777" w:rsidR="0084104A" w:rsidRPr="006775F7" w:rsidRDefault="0084104A" w:rsidP="0084104A">
      <w:pPr>
        <w:pBdr>
          <w:top w:val="nil"/>
          <w:left w:val="nil"/>
          <w:bottom w:val="nil"/>
          <w:right w:val="nil"/>
          <w:between w:val="nil"/>
        </w:pBdr>
        <w:ind w:left="720"/>
        <w:rPr>
          <w:color w:val="000000"/>
          <w:lang w:val="es-419"/>
        </w:rPr>
      </w:pPr>
      <w:r w:rsidRPr="006775F7">
        <w:rPr>
          <w:color w:val="000000"/>
          <w:lang w:val="es-419"/>
        </w:rPr>
        <w:t>Tipos de acuerdos</w:t>
      </w:r>
    </w:p>
    <w:p w14:paraId="3D3595C7" w14:textId="77777777" w:rsidR="0084104A" w:rsidRPr="006775F7" w:rsidRDefault="0084104A" w:rsidP="0084104A">
      <w:pPr>
        <w:pBdr>
          <w:top w:val="nil"/>
          <w:left w:val="nil"/>
          <w:bottom w:val="nil"/>
          <w:right w:val="nil"/>
          <w:between w:val="nil"/>
        </w:pBdr>
        <w:ind w:left="720"/>
        <w:rPr>
          <w:color w:val="000000"/>
          <w:lang w:val="es-419"/>
        </w:rPr>
      </w:pPr>
      <w:r w:rsidRPr="006775F7">
        <w:rPr>
          <w:color w:val="000000"/>
          <w:lang w:val="es-419"/>
        </w:rPr>
        <w:t>Tipos de observaciones</w:t>
      </w:r>
    </w:p>
    <w:p w14:paraId="4BBFBE5F" w14:textId="77777777" w:rsidR="0084104A" w:rsidRPr="006775F7" w:rsidRDefault="0084104A" w:rsidP="0084104A">
      <w:pPr>
        <w:numPr>
          <w:ilvl w:val="0"/>
          <w:numId w:val="14"/>
        </w:numPr>
        <w:pBdr>
          <w:top w:val="nil"/>
          <w:left w:val="nil"/>
          <w:bottom w:val="nil"/>
          <w:right w:val="nil"/>
          <w:between w:val="nil"/>
        </w:pBdr>
        <w:spacing w:line="259" w:lineRule="auto"/>
        <w:rPr>
          <w:lang w:val="es-419"/>
        </w:rPr>
      </w:pPr>
      <w:r w:rsidRPr="006775F7">
        <w:rPr>
          <w:color w:val="000000"/>
          <w:lang w:val="es-419"/>
        </w:rPr>
        <w:t xml:space="preserve">Área de trabajo o de renegociación (denominada RENEGO) </w:t>
      </w:r>
    </w:p>
    <w:p w14:paraId="15F71C81" w14:textId="2439BFA3" w:rsidR="0084104A" w:rsidRPr="006775F7" w:rsidRDefault="0084104A" w:rsidP="0084104A">
      <w:pPr>
        <w:numPr>
          <w:ilvl w:val="0"/>
          <w:numId w:val="14"/>
        </w:numPr>
        <w:pBdr>
          <w:top w:val="nil"/>
          <w:left w:val="nil"/>
          <w:bottom w:val="nil"/>
          <w:right w:val="nil"/>
          <w:between w:val="nil"/>
        </w:pBdr>
        <w:spacing w:after="160" w:line="259" w:lineRule="auto"/>
        <w:rPr>
          <w:lang w:val="es-419"/>
        </w:rPr>
      </w:pPr>
      <w:r w:rsidRPr="006775F7">
        <w:rPr>
          <w:color w:val="000000"/>
          <w:lang w:val="es-419"/>
        </w:rPr>
        <w:t>Área VIGENTE.</w:t>
      </w:r>
    </w:p>
    <w:p w14:paraId="440D3A1C" w14:textId="77777777" w:rsidR="0084104A" w:rsidRPr="006775F7" w:rsidRDefault="0084104A" w:rsidP="005B7954">
      <w:pPr>
        <w:jc w:val="both"/>
        <w:rPr>
          <w:lang w:val="es-419"/>
        </w:rPr>
      </w:pPr>
      <w:r w:rsidRPr="006775F7">
        <w:rPr>
          <w:lang w:val="es-419"/>
        </w:rPr>
        <w:t>Pueden tratarse de:</w:t>
      </w:r>
    </w:p>
    <w:p w14:paraId="4A7B1552" w14:textId="77777777" w:rsidR="0084104A" w:rsidRPr="006775F7" w:rsidRDefault="0084104A" w:rsidP="005B7954">
      <w:pPr>
        <w:jc w:val="both"/>
        <w:rPr>
          <w:lang w:val="es-419"/>
        </w:rPr>
      </w:pPr>
      <w:r w:rsidRPr="006775F7">
        <w:rPr>
          <w:lang w:val="es-419"/>
        </w:rPr>
        <w:t xml:space="preserve">a) Procesos puntuales de los 3 grupos mencionados. </w:t>
      </w:r>
    </w:p>
    <w:p w14:paraId="6EEDB9C3" w14:textId="77777777" w:rsidR="0084104A" w:rsidRPr="006775F7" w:rsidRDefault="0084104A" w:rsidP="005B7954">
      <w:pPr>
        <w:jc w:val="both"/>
        <w:rPr>
          <w:lang w:val="es-419"/>
        </w:rPr>
      </w:pPr>
      <w:r w:rsidRPr="006775F7">
        <w:rPr>
          <w:lang w:val="es-419"/>
        </w:rPr>
        <w:t>b) Procesos masivos en</w:t>
      </w:r>
    </w:p>
    <w:p w14:paraId="30FC58EA" w14:textId="50B7E9C1" w:rsidR="0084104A" w:rsidRPr="006775F7" w:rsidRDefault="0084104A" w:rsidP="005B7954">
      <w:pPr>
        <w:numPr>
          <w:ilvl w:val="0"/>
          <w:numId w:val="15"/>
        </w:numPr>
        <w:pBdr>
          <w:top w:val="nil"/>
          <w:left w:val="nil"/>
          <w:bottom w:val="nil"/>
          <w:right w:val="nil"/>
          <w:between w:val="nil"/>
        </w:pBdr>
        <w:spacing w:line="259" w:lineRule="auto"/>
        <w:jc w:val="both"/>
        <w:rPr>
          <w:lang w:val="es-419"/>
        </w:rPr>
      </w:pPr>
      <w:r w:rsidRPr="006775F7">
        <w:rPr>
          <w:color w:val="000000"/>
          <w:lang w:val="es-419"/>
        </w:rPr>
        <w:t>Área de trabajo (RENEGO)</w:t>
      </w:r>
      <w:r w:rsidR="00257B00" w:rsidRPr="006775F7">
        <w:rPr>
          <w:color w:val="000000"/>
          <w:lang w:val="es-419"/>
        </w:rPr>
        <w:t>. Se utiliza cuando se están preparando las preferencias que entrarán en vigencia o se están realizando modificaciones a preferencias existentes.</w:t>
      </w:r>
    </w:p>
    <w:p w14:paraId="5BEBD236" w14:textId="77777777" w:rsidR="0084104A" w:rsidRPr="006775F7" w:rsidRDefault="0084104A" w:rsidP="005B7954">
      <w:pPr>
        <w:numPr>
          <w:ilvl w:val="0"/>
          <w:numId w:val="6"/>
        </w:numPr>
        <w:pBdr>
          <w:top w:val="nil"/>
          <w:left w:val="nil"/>
          <w:bottom w:val="nil"/>
          <w:right w:val="nil"/>
          <w:between w:val="nil"/>
        </w:pBdr>
        <w:spacing w:line="259" w:lineRule="auto"/>
        <w:jc w:val="both"/>
        <w:rPr>
          <w:color w:val="000000"/>
          <w:lang w:val="es-419"/>
        </w:rPr>
      </w:pPr>
      <w:r w:rsidRPr="006775F7">
        <w:rPr>
          <w:color w:val="000000"/>
          <w:lang w:val="es-419"/>
        </w:rPr>
        <w:t>Alta/Actualización/Derogación de información masiva: asignación de preferencias porcentuales o gravámenes preferenciales, cronogramas de desgravación y asignación de observaciones.</w:t>
      </w:r>
    </w:p>
    <w:p w14:paraId="00EC4D38" w14:textId="77777777" w:rsidR="0084104A" w:rsidRPr="006775F7" w:rsidRDefault="0084104A" w:rsidP="005B7954">
      <w:pPr>
        <w:numPr>
          <w:ilvl w:val="0"/>
          <w:numId w:val="6"/>
        </w:numPr>
        <w:pBdr>
          <w:top w:val="nil"/>
          <w:left w:val="nil"/>
          <w:bottom w:val="nil"/>
          <w:right w:val="nil"/>
          <w:between w:val="nil"/>
        </w:pBdr>
        <w:spacing w:line="259" w:lineRule="auto"/>
        <w:jc w:val="both"/>
        <w:rPr>
          <w:lang w:val="es-419"/>
        </w:rPr>
      </w:pPr>
      <w:r w:rsidRPr="006775F7">
        <w:rPr>
          <w:color w:val="000000"/>
          <w:lang w:val="es-419"/>
        </w:rPr>
        <w:t>Programación para realizar el pasaje de un acuerdo desde el área de trabajo (RENEGO) al área vigente</w:t>
      </w:r>
      <w:r w:rsidRPr="006775F7">
        <w:rPr>
          <w:lang w:val="es-419"/>
        </w:rPr>
        <w:t>.</w:t>
      </w:r>
    </w:p>
    <w:p w14:paraId="045B0A88" w14:textId="1B5D77E7" w:rsidR="0084104A" w:rsidRPr="006775F7" w:rsidRDefault="0084104A" w:rsidP="005B7954">
      <w:pPr>
        <w:numPr>
          <w:ilvl w:val="0"/>
          <w:numId w:val="6"/>
        </w:numPr>
        <w:pBdr>
          <w:top w:val="nil"/>
          <w:left w:val="nil"/>
          <w:bottom w:val="nil"/>
          <w:right w:val="nil"/>
          <w:between w:val="nil"/>
        </w:pBdr>
        <w:spacing w:line="259" w:lineRule="auto"/>
        <w:jc w:val="both"/>
        <w:rPr>
          <w:lang w:val="es-419"/>
        </w:rPr>
      </w:pPr>
      <w:r w:rsidRPr="006775F7">
        <w:rPr>
          <w:lang w:val="es-419"/>
        </w:rPr>
        <w:t>Programación para ejecutar cronogramas</w:t>
      </w:r>
      <w:r w:rsidR="00BA42B1" w:rsidRPr="006775F7">
        <w:rPr>
          <w:lang w:val="es-419"/>
        </w:rPr>
        <w:t xml:space="preserve"> de desgravación</w:t>
      </w:r>
      <w:r w:rsidRPr="006775F7">
        <w:rPr>
          <w:lang w:val="es-419"/>
        </w:rPr>
        <w:t>.</w:t>
      </w:r>
      <w:r w:rsidR="00BA42B1" w:rsidRPr="006775F7">
        <w:rPr>
          <w:lang w:val="es-419"/>
        </w:rPr>
        <w:t xml:space="preserve"> Al momento de negociar un item arancelario puede tener </w:t>
      </w:r>
      <w:r w:rsidR="00257B00" w:rsidRPr="006775F7">
        <w:rPr>
          <w:lang w:val="es-419"/>
        </w:rPr>
        <w:t xml:space="preserve">asociado </w:t>
      </w:r>
      <w:r w:rsidR="00BA42B1" w:rsidRPr="006775F7">
        <w:rPr>
          <w:lang w:val="es-419"/>
        </w:rPr>
        <w:t xml:space="preserve">un cronograma de desgravación, esto es que se indicará </w:t>
      </w:r>
      <w:r w:rsidR="00257B00" w:rsidRPr="006775F7">
        <w:rPr>
          <w:lang w:val="es-419"/>
        </w:rPr>
        <w:t xml:space="preserve">el valor que tomará la </w:t>
      </w:r>
      <w:r w:rsidR="00BA42B1" w:rsidRPr="006775F7">
        <w:rPr>
          <w:lang w:val="es-419"/>
        </w:rPr>
        <w:t xml:space="preserve">preferencia </w:t>
      </w:r>
      <w:r w:rsidR="00257B00" w:rsidRPr="006775F7">
        <w:rPr>
          <w:lang w:val="es-419"/>
        </w:rPr>
        <w:t>a partir de ciertas fechas dadas.</w:t>
      </w:r>
    </w:p>
    <w:p w14:paraId="33AFA4D4" w14:textId="77777777" w:rsidR="0084104A" w:rsidRPr="006775F7" w:rsidRDefault="0084104A" w:rsidP="005B7954">
      <w:pPr>
        <w:pBdr>
          <w:top w:val="nil"/>
          <w:left w:val="nil"/>
          <w:bottom w:val="nil"/>
          <w:right w:val="nil"/>
          <w:between w:val="nil"/>
        </w:pBdr>
        <w:ind w:left="720"/>
        <w:jc w:val="both"/>
        <w:rPr>
          <w:color w:val="000000"/>
          <w:lang w:val="es-419"/>
        </w:rPr>
      </w:pPr>
    </w:p>
    <w:p w14:paraId="7453186F" w14:textId="18391F88" w:rsidR="0084104A" w:rsidRPr="006775F7" w:rsidRDefault="0084104A" w:rsidP="0084104A">
      <w:pPr>
        <w:numPr>
          <w:ilvl w:val="0"/>
          <w:numId w:val="15"/>
        </w:numPr>
        <w:pBdr>
          <w:top w:val="nil"/>
          <w:left w:val="nil"/>
          <w:bottom w:val="nil"/>
          <w:right w:val="nil"/>
          <w:between w:val="nil"/>
        </w:pBdr>
        <w:spacing w:line="259" w:lineRule="auto"/>
        <w:rPr>
          <w:lang w:val="es-419"/>
        </w:rPr>
      </w:pPr>
      <w:r w:rsidRPr="006775F7">
        <w:rPr>
          <w:color w:val="000000"/>
          <w:lang w:val="es-419"/>
        </w:rPr>
        <w:t>Área VIGENTE</w:t>
      </w:r>
      <w:r w:rsidR="00257B00" w:rsidRPr="006775F7">
        <w:rPr>
          <w:lang w:val="es-419"/>
        </w:rPr>
        <w:t>. Tiene la información histórica y actual.</w:t>
      </w:r>
    </w:p>
    <w:p w14:paraId="32DD5CD0" w14:textId="29DC7EB9" w:rsidR="0084104A" w:rsidRPr="006775F7" w:rsidRDefault="0084104A" w:rsidP="005B7954">
      <w:pPr>
        <w:pStyle w:val="Prrafodelista"/>
        <w:numPr>
          <w:ilvl w:val="0"/>
          <w:numId w:val="17"/>
        </w:numPr>
        <w:spacing w:after="160" w:line="259" w:lineRule="auto"/>
        <w:jc w:val="both"/>
        <w:rPr>
          <w:lang w:val="es-419"/>
        </w:rPr>
      </w:pPr>
      <w:r w:rsidRPr="006775F7">
        <w:rPr>
          <w:lang w:val="es-419"/>
        </w:rPr>
        <w:t>Programación para realizar el pasaje de un acuerdo desde el área vigente al área de trabajo (RENEGO)</w:t>
      </w:r>
      <w:r w:rsidR="00257B00" w:rsidRPr="006775F7">
        <w:rPr>
          <w:lang w:val="es-419"/>
        </w:rPr>
        <w:t xml:space="preserve"> para efectuar altas, bajas o modificaciones</w:t>
      </w:r>
      <w:r w:rsidRPr="006775F7">
        <w:rPr>
          <w:lang w:val="es-419"/>
        </w:rPr>
        <w:t>.</w:t>
      </w:r>
    </w:p>
    <w:p w14:paraId="713E6ACE" w14:textId="77777777" w:rsidR="0084104A" w:rsidRPr="006775F7" w:rsidRDefault="0084104A" w:rsidP="005B7954">
      <w:pPr>
        <w:jc w:val="both"/>
        <w:rPr>
          <w:lang w:val="es-419"/>
        </w:rPr>
      </w:pPr>
      <w:r w:rsidRPr="006775F7">
        <w:rPr>
          <w:lang w:val="es-419"/>
        </w:rPr>
        <w:lastRenderedPageBreak/>
        <w:t>c) Consultas</w:t>
      </w:r>
    </w:p>
    <w:p w14:paraId="02945979" w14:textId="77777777" w:rsidR="0084104A" w:rsidRPr="006775F7" w:rsidRDefault="0084104A" w:rsidP="005B7954">
      <w:pPr>
        <w:ind w:left="360"/>
        <w:jc w:val="both"/>
        <w:rPr>
          <w:lang w:val="es-419"/>
        </w:rPr>
      </w:pPr>
      <w:r w:rsidRPr="006775F7">
        <w:rPr>
          <w:lang w:val="es-419"/>
        </w:rPr>
        <w:t xml:space="preserve">Para una determinada fecha se debe poder consultar las preferencias tanto en el área RENEGO como el área vigente, </w:t>
      </w:r>
    </w:p>
    <w:p w14:paraId="10393B85" w14:textId="77777777" w:rsidR="0084104A" w:rsidRPr="006775F7" w:rsidRDefault="0084104A" w:rsidP="005B7954">
      <w:pPr>
        <w:ind w:left="360"/>
        <w:jc w:val="both"/>
        <w:rPr>
          <w:lang w:val="es-419"/>
        </w:rPr>
      </w:pPr>
    </w:p>
    <w:p w14:paraId="7EAD1882" w14:textId="77777777" w:rsidR="0084104A" w:rsidRPr="005B7954" w:rsidRDefault="0084104A" w:rsidP="005B7954">
      <w:pPr>
        <w:ind w:firstLine="720"/>
        <w:jc w:val="both"/>
        <w:rPr>
          <w:lang w:val="pt-BR"/>
        </w:rPr>
      </w:pPr>
      <w:r w:rsidRPr="005B7954">
        <w:rPr>
          <w:lang w:val="pt-BR"/>
        </w:rPr>
        <w:t>i) por otorgante(s), beneficiario(s),</w:t>
      </w:r>
    </w:p>
    <w:p w14:paraId="51923719" w14:textId="77777777" w:rsidR="0084104A" w:rsidRPr="006775F7" w:rsidRDefault="0084104A" w:rsidP="005B7954">
      <w:pPr>
        <w:jc w:val="both"/>
        <w:rPr>
          <w:lang w:val="es-419"/>
        </w:rPr>
      </w:pPr>
      <w:r w:rsidRPr="005B7954">
        <w:rPr>
          <w:lang w:val="pt-BR"/>
        </w:rPr>
        <w:tab/>
      </w:r>
      <w:r w:rsidRPr="006775F7">
        <w:rPr>
          <w:lang w:val="es-419"/>
        </w:rPr>
        <w:t>ii) por acuerdo.</w:t>
      </w:r>
    </w:p>
    <w:p w14:paraId="7158AE4B" w14:textId="77777777" w:rsidR="0084104A" w:rsidRPr="006775F7" w:rsidRDefault="0084104A" w:rsidP="005B7954">
      <w:pPr>
        <w:pBdr>
          <w:top w:val="nil"/>
          <w:left w:val="nil"/>
          <w:bottom w:val="nil"/>
          <w:right w:val="nil"/>
          <w:between w:val="nil"/>
        </w:pBdr>
        <w:jc w:val="both"/>
        <w:rPr>
          <w:lang w:val="es-419"/>
        </w:rPr>
      </w:pPr>
    </w:p>
    <w:p w14:paraId="722368E1" w14:textId="77777777" w:rsidR="0084104A" w:rsidRPr="006775F7" w:rsidRDefault="0084104A" w:rsidP="0084104A">
      <w:pPr>
        <w:pBdr>
          <w:top w:val="nil"/>
          <w:left w:val="nil"/>
          <w:bottom w:val="nil"/>
          <w:right w:val="nil"/>
          <w:between w:val="nil"/>
        </w:pBdr>
        <w:rPr>
          <w:lang w:val="es-419"/>
        </w:rPr>
      </w:pPr>
      <w:r w:rsidRPr="006775F7">
        <w:rPr>
          <w:b/>
          <w:lang w:val="es-419"/>
        </w:rPr>
        <w:t>Notas</w:t>
      </w:r>
      <w:r w:rsidRPr="006775F7">
        <w:rPr>
          <w:lang w:val="es-419"/>
        </w:rPr>
        <w:t xml:space="preserve">: </w:t>
      </w:r>
    </w:p>
    <w:p w14:paraId="537B86D5" w14:textId="77777777" w:rsidR="0084104A" w:rsidRPr="006775F7" w:rsidRDefault="0084104A" w:rsidP="005B7954">
      <w:pPr>
        <w:numPr>
          <w:ilvl w:val="0"/>
          <w:numId w:val="16"/>
        </w:numPr>
        <w:pBdr>
          <w:top w:val="nil"/>
          <w:left w:val="nil"/>
          <w:bottom w:val="nil"/>
          <w:right w:val="nil"/>
          <w:between w:val="nil"/>
        </w:pBdr>
        <w:spacing w:line="259" w:lineRule="auto"/>
        <w:jc w:val="both"/>
        <w:rPr>
          <w:lang w:val="es-419"/>
        </w:rPr>
      </w:pPr>
      <w:r w:rsidRPr="006775F7">
        <w:rPr>
          <w:lang w:val="es-419"/>
        </w:rPr>
        <w:t xml:space="preserve">Todas las acciones realizadas sobre la base de datos deben quedar </w:t>
      </w:r>
      <w:r w:rsidRPr="006775F7">
        <w:rPr>
          <w:color w:val="000000"/>
          <w:lang w:val="es-419"/>
        </w:rPr>
        <w:t>registra</w:t>
      </w:r>
      <w:r w:rsidRPr="006775F7">
        <w:rPr>
          <w:lang w:val="es-419"/>
        </w:rPr>
        <w:t>das en la tabla de</w:t>
      </w:r>
      <w:r w:rsidRPr="006775F7">
        <w:rPr>
          <w:color w:val="000000"/>
          <w:lang w:val="es-419"/>
        </w:rPr>
        <w:t xml:space="preserve"> auditoría</w:t>
      </w:r>
      <w:r w:rsidRPr="006775F7">
        <w:rPr>
          <w:lang w:val="es-419"/>
        </w:rPr>
        <w:t>.</w:t>
      </w:r>
    </w:p>
    <w:p w14:paraId="44F08666" w14:textId="77777777" w:rsidR="0084104A" w:rsidRPr="006775F7" w:rsidRDefault="0084104A" w:rsidP="005B7954">
      <w:pPr>
        <w:numPr>
          <w:ilvl w:val="0"/>
          <w:numId w:val="16"/>
        </w:numPr>
        <w:pBdr>
          <w:top w:val="nil"/>
          <w:left w:val="nil"/>
          <w:bottom w:val="nil"/>
          <w:right w:val="nil"/>
          <w:between w:val="nil"/>
        </w:pBdr>
        <w:spacing w:after="160" w:line="259" w:lineRule="auto"/>
        <w:jc w:val="both"/>
        <w:rPr>
          <w:lang w:val="es-419"/>
        </w:rPr>
      </w:pPr>
      <w:r w:rsidRPr="006775F7">
        <w:rPr>
          <w:lang w:val="es-419"/>
        </w:rPr>
        <w:t xml:space="preserve">Se requiere la realización de pruebas de todos los procesos masivos para evaluar su performance e identificar índices a incorporar, si corresponde. </w:t>
      </w:r>
    </w:p>
    <w:p w14:paraId="5CD66B02" w14:textId="663B4A4F" w:rsidR="00CF163F" w:rsidRPr="006775F7" w:rsidRDefault="00CF163F" w:rsidP="005B7954">
      <w:pPr>
        <w:jc w:val="both"/>
        <w:rPr>
          <w:lang w:val="es-419"/>
        </w:rPr>
      </w:pPr>
    </w:p>
    <w:p w14:paraId="5DC2E544" w14:textId="77777777" w:rsidR="00B62AC1" w:rsidRPr="006775F7" w:rsidRDefault="00B62AC1" w:rsidP="005B7954">
      <w:pPr>
        <w:jc w:val="both"/>
        <w:rPr>
          <w:lang w:val="es-419"/>
        </w:rPr>
      </w:pPr>
      <w:r w:rsidRPr="006775F7">
        <w:rPr>
          <w:lang w:val="es-419"/>
        </w:rPr>
        <w:t xml:space="preserve">Se debe tener en cuenta diferentes reglas de integridad para asegurar la consistencia de la información del modelo.  </w:t>
      </w:r>
    </w:p>
    <w:p w14:paraId="21E5BA94" w14:textId="77777777" w:rsidR="0084104A" w:rsidRPr="006775F7" w:rsidRDefault="0084104A" w:rsidP="005B7954">
      <w:pPr>
        <w:jc w:val="both"/>
        <w:rPr>
          <w:lang w:val="es-419"/>
        </w:rPr>
      </w:pPr>
    </w:p>
    <w:p w14:paraId="264604BE" w14:textId="47EBBBE6" w:rsidR="003E20C6" w:rsidRPr="006775F7" w:rsidRDefault="0084104A" w:rsidP="005B7954">
      <w:pPr>
        <w:jc w:val="both"/>
        <w:rPr>
          <w:lang w:val="es-419"/>
        </w:rPr>
      </w:pPr>
      <w:r w:rsidRPr="006775F7">
        <w:rPr>
          <w:lang w:val="es-419"/>
        </w:rPr>
        <w:t xml:space="preserve">El sistema debe requerir </w:t>
      </w:r>
      <w:r w:rsidR="00A00BD2" w:rsidRPr="006775F7">
        <w:rPr>
          <w:lang w:val="es-419"/>
        </w:rPr>
        <w:t xml:space="preserve">autenticación, </w:t>
      </w:r>
      <w:r w:rsidRPr="006775F7">
        <w:rPr>
          <w:lang w:val="es-419"/>
        </w:rPr>
        <w:t xml:space="preserve">debe estar </w:t>
      </w:r>
      <w:r w:rsidR="00BC1791" w:rsidRPr="006775F7">
        <w:rPr>
          <w:lang w:val="es-419"/>
        </w:rPr>
        <w:t xml:space="preserve">disponible 7x24, </w:t>
      </w:r>
      <w:r w:rsidRPr="006775F7">
        <w:rPr>
          <w:lang w:val="es-419"/>
        </w:rPr>
        <w:t xml:space="preserve">y brindar un muy buen nivel de seguridad. </w:t>
      </w:r>
    </w:p>
    <w:p w14:paraId="2D7EC81B" w14:textId="77777777" w:rsidR="00B73201" w:rsidRPr="006775F7" w:rsidRDefault="00B73201" w:rsidP="007164F9">
      <w:pPr>
        <w:rPr>
          <w:lang w:val="es-419"/>
        </w:rPr>
      </w:pPr>
    </w:p>
    <w:p w14:paraId="2152EC1F" w14:textId="77777777" w:rsidR="00AF45D2" w:rsidRPr="006775F7" w:rsidRDefault="00AF45D2" w:rsidP="007164F9">
      <w:pPr>
        <w:rPr>
          <w:lang w:val="es-419"/>
        </w:rPr>
      </w:pPr>
    </w:p>
    <w:p w14:paraId="756DD8D4" w14:textId="77777777" w:rsidR="00AF45D2" w:rsidRPr="006775F7" w:rsidRDefault="00AF45D2" w:rsidP="007164F9">
      <w:pPr>
        <w:rPr>
          <w:lang w:val="es-419"/>
        </w:rPr>
      </w:pPr>
    </w:p>
    <w:p w14:paraId="21B38DC8" w14:textId="77777777" w:rsidR="00352729" w:rsidRPr="006775F7" w:rsidRDefault="00362367" w:rsidP="007164F9">
      <w:pPr>
        <w:pStyle w:val="Ttulo1"/>
        <w:ind w:right="0"/>
        <w:rPr>
          <w:lang w:val="es-419"/>
        </w:rPr>
      </w:pPr>
      <w:bookmarkStart w:id="5" w:name="_y0pm0djf1v7b" w:colFirst="0" w:colLast="0"/>
      <w:bookmarkEnd w:id="5"/>
      <w:r w:rsidRPr="006775F7">
        <w:rPr>
          <w:lang w:val="es-419"/>
        </w:rPr>
        <w:t>5.- Requisitos Técnicos y de Integración</w:t>
      </w:r>
    </w:p>
    <w:p w14:paraId="005302A8" w14:textId="1423A6CE" w:rsidR="003E20C6" w:rsidRPr="006775F7" w:rsidRDefault="00362367" w:rsidP="007164F9">
      <w:pPr>
        <w:rPr>
          <w:lang w:val="es-419"/>
        </w:rPr>
      </w:pPr>
      <w:r w:rsidRPr="006775F7">
        <w:rPr>
          <w:lang w:val="es-419"/>
        </w:rPr>
        <w:t xml:space="preserve">Sistemas con los que </w:t>
      </w:r>
      <w:r w:rsidR="003E20C6" w:rsidRPr="006775F7">
        <w:rPr>
          <w:lang w:val="es-419"/>
        </w:rPr>
        <w:t xml:space="preserve">se </w:t>
      </w:r>
      <w:r w:rsidRPr="006775F7">
        <w:rPr>
          <w:lang w:val="es-419"/>
        </w:rPr>
        <w:t>debe integrar:</w:t>
      </w:r>
      <w:r w:rsidRPr="006775F7">
        <w:rPr>
          <w:lang w:val="es-419"/>
        </w:rPr>
        <w:br/>
      </w:r>
      <w:r w:rsidRPr="006775F7">
        <w:rPr>
          <w:lang w:val="es-419"/>
        </w:rPr>
        <w:br/>
        <w:t>Restricciones tecnológicas:</w:t>
      </w:r>
    </w:p>
    <w:p w14:paraId="0B99A813" w14:textId="139A4955" w:rsidR="00352729" w:rsidRPr="006775F7" w:rsidRDefault="006C0442" w:rsidP="007164F9">
      <w:pPr>
        <w:rPr>
          <w:lang w:val="es-419"/>
        </w:rPr>
      </w:pPr>
      <w:r w:rsidRPr="006775F7">
        <w:rPr>
          <w:lang w:val="es-419"/>
        </w:rPr>
        <w:t>Actualmente los datos están alojad</w:t>
      </w:r>
      <w:r w:rsidR="00407AF7">
        <w:rPr>
          <w:lang w:val="es-419"/>
        </w:rPr>
        <w:t>o</w:t>
      </w:r>
      <w:r w:rsidRPr="006775F7">
        <w:rPr>
          <w:lang w:val="es-419"/>
        </w:rPr>
        <w:t>s en el motor de base de datos IBM/DB2</w:t>
      </w:r>
      <w:r w:rsidR="003E20C6" w:rsidRPr="006775F7">
        <w:rPr>
          <w:lang w:val="es-419"/>
        </w:rPr>
        <w:t xml:space="preserve"> </w:t>
      </w:r>
      <w:r w:rsidR="00362367" w:rsidRPr="006775F7">
        <w:rPr>
          <w:lang w:val="es-419"/>
        </w:rPr>
        <w:br/>
      </w:r>
    </w:p>
    <w:p w14:paraId="20D1877E" w14:textId="77777777" w:rsidR="00352729" w:rsidRPr="006775F7" w:rsidRDefault="00362367" w:rsidP="007164F9">
      <w:pPr>
        <w:pStyle w:val="Ttulo1"/>
        <w:ind w:right="0"/>
        <w:rPr>
          <w:lang w:val="es-419"/>
        </w:rPr>
      </w:pPr>
      <w:bookmarkStart w:id="6" w:name="_yfzt5ath8fze" w:colFirst="0" w:colLast="0"/>
      <w:bookmarkEnd w:id="6"/>
      <w:r w:rsidRPr="006775F7">
        <w:rPr>
          <w:lang w:val="es-419"/>
        </w:rPr>
        <w:t>6.- Interfaz de Usuario</w:t>
      </w:r>
    </w:p>
    <w:p w14:paraId="7E568CE9" w14:textId="191C1821" w:rsidR="00B62AC1" w:rsidRPr="006775F7" w:rsidRDefault="00B62AC1" w:rsidP="00B62AC1">
      <w:pPr>
        <w:rPr>
          <w:lang w:val="es-419"/>
        </w:rPr>
      </w:pPr>
      <w:r w:rsidRPr="006775F7">
        <w:rPr>
          <w:lang w:val="es-419"/>
        </w:rPr>
        <w:t xml:space="preserve">Usuarios administradores – gestores de cada módulo, quienes realizan alta, baja, modificación y consulta de datos. </w:t>
      </w:r>
    </w:p>
    <w:p w14:paraId="60FD7B98" w14:textId="77777777" w:rsidR="00B62AC1" w:rsidRPr="006775F7" w:rsidRDefault="00362367" w:rsidP="00B62AC1">
      <w:pPr>
        <w:rPr>
          <w:lang w:val="es-419"/>
        </w:rPr>
      </w:pPr>
      <w:r w:rsidRPr="006775F7">
        <w:rPr>
          <w:lang w:val="es-419"/>
        </w:rPr>
        <w:t>Usuarios finales:</w:t>
      </w:r>
      <w:r w:rsidR="00FD56D8" w:rsidRPr="006775F7">
        <w:rPr>
          <w:lang w:val="es-419"/>
        </w:rPr>
        <w:t xml:space="preserve"> </w:t>
      </w:r>
      <w:r w:rsidR="00B62AC1" w:rsidRPr="006775F7">
        <w:rPr>
          <w:lang w:val="es-419"/>
        </w:rPr>
        <w:t>que consultan la información de distintos módulos de la base.</w:t>
      </w:r>
    </w:p>
    <w:p w14:paraId="65D67956" w14:textId="77777777" w:rsidR="00B62AC1" w:rsidRPr="006775F7" w:rsidRDefault="00B62AC1" w:rsidP="00B62AC1">
      <w:pPr>
        <w:rPr>
          <w:lang w:val="es-419"/>
        </w:rPr>
      </w:pPr>
    </w:p>
    <w:p w14:paraId="2147C389" w14:textId="6FF9BFCA" w:rsidR="00352729" w:rsidRPr="006775F7" w:rsidRDefault="00362367" w:rsidP="00B62AC1">
      <w:pPr>
        <w:rPr>
          <w:lang w:val="es-419"/>
        </w:rPr>
      </w:pPr>
      <w:r w:rsidRPr="006775F7">
        <w:rPr>
          <w:lang w:val="es-419"/>
        </w:rPr>
        <w:t>Re</w:t>
      </w:r>
      <w:r w:rsidR="003E20C6" w:rsidRPr="006775F7">
        <w:rPr>
          <w:lang w:val="es-419"/>
        </w:rPr>
        <w:t>quisitos de accesibilidad:</w:t>
      </w:r>
      <w:r w:rsidR="003E20C6" w:rsidRPr="006775F7">
        <w:rPr>
          <w:lang w:val="es-419"/>
        </w:rPr>
        <w:br/>
      </w:r>
      <w:r w:rsidRPr="006775F7">
        <w:rPr>
          <w:lang w:val="es-419"/>
        </w:rPr>
        <w:t>Cumplimiento con WCAG 2.1.</w:t>
      </w:r>
    </w:p>
    <w:p w14:paraId="59251009" w14:textId="77777777" w:rsidR="00352729" w:rsidRPr="006775F7" w:rsidRDefault="00362367" w:rsidP="007164F9">
      <w:pPr>
        <w:pStyle w:val="Ttulo1"/>
        <w:spacing w:before="240"/>
        <w:ind w:right="0"/>
        <w:rPr>
          <w:lang w:val="es-419"/>
        </w:rPr>
      </w:pPr>
      <w:bookmarkStart w:id="7" w:name="_tfdkjcc2oc9z" w:colFirst="0" w:colLast="0"/>
      <w:bookmarkEnd w:id="7"/>
      <w:r w:rsidRPr="006775F7">
        <w:rPr>
          <w:lang w:val="es-419"/>
        </w:rPr>
        <w:t>7.- Seguridad y Control de Acceso</w:t>
      </w:r>
    </w:p>
    <w:p w14:paraId="441BE569" w14:textId="1C539095" w:rsidR="0039518C" w:rsidRPr="006775F7" w:rsidRDefault="00362367" w:rsidP="007164F9">
      <w:pPr>
        <w:rPr>
          <w:lang w:val="es-419"/>
        </w:rPr>
      </w:pPr>
      <w:r w:rsidRPr="006775F7">
        <w:rPr>
          <w:lang w:val="es-419"/>
        </w:rPr>
        <w:t>Tipos de usuario</w:t>
      </w:r>
      <w:r w:rsidR="0086286B" w:rsidRPr="006775F7">
        <w:rPr>
          <w:lang w:val="es-419"/>
        </w:rPr>
        <w:t>:</w:t>
      </w:r>
      <w:r w:rsidRPr="006775F7">
        <w:rPr>
          <w:lang w:val="es-419"/>
        </w:rPr>
        <w:br/>
      </w:r>
      <w:r w:rsidR="0084104A" w:rsidRPr="006775F7">
        <w:rPr>
          <w:lang w:val="es-419"/>
        </w:rPr>
        <w:t>Todos los usuarios requerirán autenticación.</w:t>
      </w:r>
    </w:p>
    <w:p w14:paraId="7DE5005F" w14:textId="4327B8CA" w:rsidR="00352729" w:rsidRPr="006775F7" w:rsidRDefault="0086286B" w:rsidP="007164F9">
      <w:pPr>
        <w:rPr>
          <w:lang w:val="es-419"/>
        </w:rPr>
      </w:pPr>
      <w:r w:rsidRPr="006775F7">
        <w:rPr>
          <w:lang w:val="es-419"/>
        </w:rPr>
        <w:br/>
        <w:t>Auditoría:</w:t>
      </w:r>
      <w:r w:rsidRPr="006775F7">
        <w:rPr>
          <w:lang w:val="es-419"/>
        </w:rPr>
        <w:br/>
      </w:r>
      <w:r w:rsidR="00257B00" w:rsidRPr="006775F7">
        <w:rPr>
          <w:lang w:val="es-419"/>
        </w:rPr>
        <w:t>Registro de accesos y modificaciones a todas las tablas del Módul</w:t>
      </w:r>
      <w:r w:rsidR="00B73201" w:rsidRPr="006775F7">
        <w:rPr>
          <w:lang w:val="es-419"/>
        </w:rPr>
        <w:t>o de que se trate</w:t>
      </w:r>
      <w:r w:rsidR="00257B00" w:rsidRPr="006775F7">
        <w:rPr>
          <w:lang w:val="es-419"/>
        </w:rPr>
        <w:t>.</w:t>
      </w:r>
    </w:p>
    <w:p w14:paraId="78AF0DF7" w14:textId="77777777" w:rsidR="00257B00" w:rsidRPr="006775F7" w:rsidRDefault="00257B00" w:rsidP="007164F9">
      <w:pPr>
        <w:rPr>
          <w:lang w:val="es-419"/>
        </w:rPr>
      </w:pPr>
    </w:p>
    <w:p w14:paraId="554C2F9A" w14:textId="77777777" w:rsidR="00352729" w:rsidRPr="006775F7" w:rsidRDefault="00352729" w:rsidP="007164F9">
      <w:pPr>
        <w:rPr>
          <w:lang w:val="es-419"/>
        </w:rPr>
      </w:pPr>
    </w:p>
    <w:p w14:paraId="66CB00C8" w14:textId="77777777" w:rsidR="00352729" w:rsidRPr="006775F7" w:rsidRDefault="00362367" w:rsidP="007164F9">
      <w:pPr>
        <w:pStyle w:val="Ttulo1"/>
        <w:ind w:right="0"/>
        <w:rPr>
          <w:lang w:val="es-419"/>
        </w:rPr>
      </w:pPr>
      <w:bookmarkStart w:id="8" w:name="_n46da9gz9ekp" w:colFirst="0" w:colLast="0"/>
      <w:bookmarkEnd w:id="8"/>
      <w:r w:rsidRPr="006775F7">
        <w:rPr>
          <w:lang w:val="es-419"/>
        </w:rPr>
        <w:lastRenderedPageBreak/>
        <w:t>8.- Datos Existentes y Migración</w:t>
      </w:r>
    </w:p>
    <w:p w14:paraId="14E9F0B2" w14:textId="518805BD" w:rsidR="0086286B" w:rsidRPr="00081602" w:rsidRDefault="00B73201" w:rsidP="007164F9">
      <w:pPr>
        <w:rPr>
          <w:strike/>
          <w:lang w:val="es-UY"/>
        </w:rPr>
      </w:pPr>
      <w:r w:rsidRPr="00081602">
        <w:rPr>
          <w:lang w:val="es-UY"/>
        </w:rPr>
        <w:t xml:space="preserve">Hardware – IBM Power 9, con </w:t>
      </w:r>
      <w:r w:rsidR="0025652D" w:rsidRPr="00081602">
        <w:rPr>
          <w:lang w:val="es-UY"/>
        </w:rPr>
        <w:t>motor</w:t>
      </w:r>
      <w:r w:rsidRPr="00081602">
        <w:rPr>
          <w:lang w:val="es-UY"/>
        </w:rPr>
        <w:t xml:space="preserve"> IBM</w:t>
      </w:r>
      <w:r w:rsidR="0025652D" w:rsidRPr="00081602">
        <w:rPr>
          <w:lang w:val="es-UY"/>
        </w:rPr>
        <w:t>/</w:t>
      </w:r>
      <w:r w:rsidRPr="00081602">
        <w:rPr>
          <w:lang w:val="es-UY"/>
        </w:rPr>
        <w:t>DB2</w:t>
      </w:r>
    </w:p>
    <w:p w14:paraId="1C52BA8E" w14:textId="77777777" w:rsidR="006909DB" w:rsidRPr="006775F7" w:rsidRDefault="00362367" w:rsidP="007164F9">
      <w:pPr>
        <w:rPr>
          <w:lang w:val="es-419"/>
        </w:rPr>
      </w:pPr>
      <w:r w:rsidRPr="00081602">
        <w:rPr>
          <w:lang w:val="es-UY"/>
        </w:rPr>
        <w:br/>
      </w:r>
      <w:r w:rsidRPr="006775F7">
        <w:rPr>
          <w:lang w:val="es-419"/>
        </w:rPr>
        <w:t>Requiere migración de datos:</w:t>
      </w:r>
      <w:r w:rsidR="006909DB" w:rsidRPr="006775F7">
        <w:rPr>
          <w:lang w:val="es-419"/>
        </w:rPr>
        <w:t xml:space="preserve"> </w:t>
      </w:r>
      <w:r w:rsidRPr="006775F7">
        <w:rPr>
          <w:lang w:val="es-419"/>
        </w:rPr>
        <w:t>Sí</w:t>
      </w:r>
      <w:r w:rsidR="0086286B" w:rsidRPr="006775F7">
        <w:rPr>
          <w:lang w:val="es-419"/>
        </w:rPr>
        <w:t xml:space="preserve">. </w:t>
      </w:r>
    </w:p>
    <w:p w14:paraId="6DC38FB0" w14:textId="6D958894" w:rsidR="00352729" w:rsidRPr="006775F7" w:rsidRDefault="0086286B" w:rsidP="007164F9">
      <w:pPr>
        <w:rPr>
          <w:lang w:val="es-419"/>
        </w:rPr>
      </w:pPr>
      <w:r w:rsidRPr="004D12B2">
        <w:rPr>
          <w:lang w:val="es-419"/>
        </w:rPr>
        <w:t xml:space="preserve">Volumen estimado: </w:t>
      </w:r>
      <w:r w:rsidR="00407AF7" w:rsidRPr="004D12B2">
        <w:rPr>
          <w:lang w:val="es-419"/>
        </w:rPr>
        <w:t>1,2 TB</w:t>
      </w:r>
      <w:r w:rsidR="0084104A" w:rsidRPr="004D12B2">
        <w:rPr>
          <w:lang w:val="es-419"/>
        </w:rPr>
        <w:t xml:space="preserve">, 150 </w:t>
      </w:r>
      <w:r w:rsidR="00A873BE" w:rsidRPr="004D12B2">
        <w:rPr>
          <w:lang w:val="es-419"/>
        </w:rPr>
        <w:t>tablas</w:t>
      </w:r>
    </w:p>
    <w:p w14:paraId="026C4788" w14:textId="1E7F6987" w:rsidR="00352729" w:rsidRPr="006775F7" w:rsidRDefault="00B31381" w:rsidP="007164F9">
      <w:pPr>
        <w:rPr>
          <w:lang w:val="es-419"/>
        </w:rPr>
      </w:pPr>
      <w:r w:rsidRPr="006775F7">
        <w:rPr>
          <w:lang w:val="es-419"/>
        </w:rPr>
        <w:t xml:space="preserve">  </w:t>
      </w:r>
    </w:p>
    <w:p w14:paraId="0F00D1CC" w14:textId="14877766" w:rsidR="00352729" w:rsidRPr="006775F7" w:rsidRDefault="00362367" w:rsidP="007164F9">
      <w:pPr>
        <w:pStyle w:val="Ttulo1"/>
        <w:ind w:right="0"/>
        <w:rPr>
          <w:lang w:val="es-419"/>
        </w:rPr>
      </w:pPr>
      <w:bookmarkStart w:id="9" w:name="_afe9jzw97oto" w:colFirst="0" w:colLast="0"/>
      <w:bookmarkEnd w:id="9"/>
      <w:r w:rsidRPr="006775F7">
        <w:rPr>
          <w:lang w:val="es-419"/>
        </w:rPr>
        <w:t>9.- Cronograma</w:t>
      </w:r>
    </w:p>
    <w:p w14:paraId="61134E06" w14:textId="728C35F8" w:rsidR="001540A7" w:rsidRPr="006775F7" w:rsidRDefault="001540A7" w:rsidP="001540A7">
      <w:pPr>
        <w:rPr>
          <w:lang w:val="es-419"/>
        </w:rPr>
      </w:pPr>
      <w:r w:rsidRPr="006775F7">
        <w:rPr>
          <w:lang w:val="es-419"/>
        </w:rPr>
        <w:t>Versión en uso: desarrollo Cobol sobre IBM Power 9, con modelo IBM DB2</w:t>
      </w:r>
    </w:p>
    <w:p w14:paraId="6B6B23DF" w14:textId="3C996AD8" w:rsidR="001540A7" w:rsidRPr="006775F7" w:rsidRDefault="00171176" w:rsidP="001540A7">
      <w:pPr>
        <w:rPr>
          <w:lang w:val="es-419"/>
        </w:rPr>
      </w:pPr>
      <w:r w:rsidRPr="006775F7">
        <w:rPr>
          <w:lang w:val="es-419"/>
        </w:rPr>
        <w:t>Desarrollo evolutivo en los últimos 35 años.</w:t>
      </w:r>
    </w:p>
    <w:p w14:paraId="6C2285CA" w14:textId="77777777" w:rsidR="001540A7" w:rsidRPr="006775F7" w:rsidRDefault="001540A7" w:rsidP="001540A7">
      <w:pPr>
        <w:rPr>
          <w:lang w:val="es-419"/>
        </w:rPr>
      </w:pPr>
    </w:p>
    <w:p w14:paraId="00A24DBA" w14:textId="77777777" w:rsidR="00171176" w:rsidRPr="006775F7" w:rsidRDefault="00171176" w:rsidP="001540A7">
      <w:pPr>
        <w:rPr>
          <w:lang w:val="es-419"/>
        </w:rPr>
      </w:pPr>
    </w:p>
    <w:p w14:paraId="444C38F2" w14:textId="40E7536F" w:rsidR="00631F7D" w:rsidRPr="006775F7" w:rsidRDefault="00631F7D" w:rsidP="00631F7D">
      <w:pPr>
        <w:rPr>
          <w:b/>
          <w:bCs/>
          <w:lang w:val="es-419"/>
        </w:rPr>
      </w:pPr>
      <w:r w:rsidRPr="006775F7">
        <w:rPr>
          <w:b/>
          <w:bCs/>
          <w:lang w:val="es-419"/>
        </w:rPr>
        <w:t>Respecto del proceso actual de implementación</w:t>
      </w:r>
      <w:r w:rsidR="00171176" w:rsidRPr="006775F7">
        <w:rPr>
          <w:b/>
          <w:bCs/>
          <w:lang w:val="es-419"/>
        </w:rPr>
        <w:t xml:space="preserve"> en Genexus</w:t>
      </w:r>
      <w:r w:rsidRPr="006775F7">
        <w:rPr>
          <w:b/>
          <w:bCs/>
          <w:lang w:val="es-419"/>
        </w:rPr>
        <w:t>:</w:t>
      </w:r>
    </w:p>
    <w:p w14:paraId="15C1BBBF" w14:textId="77777777" w:rsidR="00631F7D" w:rsidRPr="006775F7" w:rsidRDefault="00631F7D" w:rsidP="00B73201">
      <w:pPr>
        <w:rPr>
          <w:lang w:val="es-419"/>
        </w:rPr>
      </w:pPr>
    </w:p>
    <w:p w14:paraId="22F1457F" w14:textId="278433BE" w:rsidR="00B73201" w:rsidRPr="006775F7" w:rsidRDefault="00B73201" w:rsidP="00765CDC">
      <w:pPr>
        <w:jc w:val="both"/>
        <w:rPr>
          <w:lang w:val="es-419"/>
        </w:rPr>
      </w:pPr>
      <w:r w:rsidRPr="006775F7">
        <w:rPr>
          <w:lang w:val="es-419"/>
        </w:rPr>
        <w:t xml:space="preserve">Dado el tamaño, complejidad e interrelaciones existentes entre los distintos módulos de la Base Central, se decidió implementar un Mínimo Producto Viable (MVP) de los siguientes módulos: Nomenclaturas, </w:t>
      </w:r>
      <w:r w:rsidR="00AF45D2" w:rsidRPr="006775F7">
        <w:rPr>
          <w:lang w:val="es-419"/>
        </w:rPr>
        <w:t>Aranceles</w:t>
      </w:r>
      <w:r w:rsidRPr="006775F7">
        <w:rPr>
          <w:lang w:val="es-419"/>
        </w:rPr>
        <w:t xml:space="preserve">, Correlaciones, Estadísticas de Comercio Exterior y Preferencias Arancelarias, con funcionalidades iniciales mínimas y suficientes para que los usuarios puedan probar y brindar retroalimentación para llevar a cabo los ajustes que correspondan. </w:t>
      </w:r>
    </w:p>
    <w:p w14:paraId="1D03D84E" w14:textId="77777777" w:rsidR="00B73201" w:rsidRPr="006775F7" w:rsidRDefault="00B73201" w:rsidP="00765CDC">
      <w:pPr>
        <w:jc w:val="both"/>
        <w:rPr>
          <w:lang w:val="es-419"/>
        </w:rPr>
      </w:pPr>
    </w:p>
    <w:p w14:paraId="378DE088" w14:textId="5BCCE4C9" w:rsidR="00B73201" w:rsidRPr="006775F7" w:rsidRDefault="00B73201" w:rsidP="00765CDC">
      <w:pPr>
        <w:jc w:val="both"/>
        <w:rPr>
          <w:lang w:val="es-419"/>
        </w:rPr>
      </w:pPr>
      <w:r w:rsidRPr="006775F7">
        <w:rPr>
          <w:lang w:val="es-419"/>
        </w:rPr>
        <w:t>Posteriormente, se realizar</w:t>
      </w:r>
      <w:r w:rsidR="00631F7D" w:rsidRPr="006775F7">
        <w:rPr>
          <w:lang w:val="es-419"/>
        </w:rPr>
        <w:t>ía</w:t>
      </w:r>
      <w:r w:rsidRPr="006775F7">
        <w:rPr>
          <w:lang w:val="es-419"/>
        </w:rPr>
        <w:t xml:space="preserve"> un proceso de Integración para interrelacionar los módulos, realizar nuevas pruebas, asegurar la integridad de los datos y el adecuado desempeño.</w:t>
      </w:r>
    </w:p>
    <w:p w14:paraId="58EBA416" w14:textId="77777777" w:rsidR="00B73201" w:rsidRPr="006775F7" w:rsidRDefault="00B73201" w:rsidP="00765CDC">
      <w:pPr>
        <w:jc w:val="both"/>
        <w:rPr>
          <w:lang w:val="es-419"/>
        </w:rPr>
      </w:pPr>
    </w:p>
    <w:p w14:paraId="6302C24C" w14:textId="5AEEEBFE" w:rsidR="00B73201" w:rsidRPr="006775F7" w:rsidRDefault="00B73201" w:rsidP="00765CDC">
      <w:pPr>
        <w:jc w:val="both"/>
        <w:rPr>
          <w:lang w:val="es-419"/>
        </w:rPr>
      </w:pPr>
      <w:r w:rsidRPr="006775F7">
        <w:rPr>
          <w:lang w:val="es-419"/>
        </w:rPr>
        <w:t>Luego, se llevar</w:t>
      </w:r>
      <w:r w:rsidR="00631F7D" w:rsidRPr="006775F7">
        <w:rPr>
          <w:lang w:val="es-419"/>
        </w:rPr>
        <w:t>ía</w:t>
      </w:r>
      <w:r w:rsidRPr="006775F7">
        <w:rPr>
          <w:lang w:val="es-419"/>
        </w:rPr>
        <w:t xml:space="preserve"> a cabo el procedimiento “Paralelo”, donde se correr</w:t>
      </w:r>
      <w:r w:rsidR="00631F7D" w:rsidRPr="006775F7">
        <w:rPr>
          <w:lang w:val="es-419"/>
        </w:rPr>
        <w:t>ía</w:t>
      </w:r>
      <w:r w:rsidRPr="006775F7">
        <w:rPr>
          <w:lang w:val="es-419"/>
        </w:rPr>
        <w:t>n procesos tanto con la programación Cobol y los procesos manuales, como con la programación GeneXus, para verificar que se genere la misma información y así poder validar toda la programación.</w:t>
      </w:r>
    </w:p>
    <w:p w14:paraId="7BE4C36F" w14:textId="77777777" w:rsidR="00B73201" w:rsidRPr="006775F7" w:rsidRDefault="00B73201" w:rsidP="00765CDC">
      <w:pPr>
        <w:jc w:val="both"/>
        <w:rPr>
          <w:lang w:val="es-419"/>
        </w:rPr>
      </w:pPr>
    </w:p>
    <w:p w14:paraId="122A73C3" w14:textId="4EEBFBE9" w:rsidR="00B73201" w:rsidRPr="006775F7" w:rsidRDefault="00B73201" w:rsidP="00765CDC">
      <w:pPr>
        <w:jc w:val="both"/>
        <w:rPr>
          <w:lang w:val="es-419"/>
        </w:rPr>
      </w:pPr>
      <w:r w:rsidRPr="006775F7">
        <w:rPr>
          <w:lang w:val="es-419"/>
        </w:rPr>
        <w:t>Finalmente, se realizar</w:t>
      </w:r>
      <w:r w:rsidR="00631F7D" w:rsidRPr="006775F7">
        <w:rPr>
          <w:lang w:val="es-419"/>
        </w:rPr>
        <w:t>ía</w:t>
      </w:r>
      <w:r w:rsidRPr="006775F7">
        <w:rPr>
          <w:lang w:val="es-419"/>
        </w:rPr>
        <w:t xml:space="preserve"> la puesta en producción (PEP), para que el sistema quede operativo. y seguir</w:t>
      </w:r>
      <w:r w:rsidR="00631F7D" w:rsidRPr="006775F7">
        <w:rPr>
          <w:lang w:val="es-419"/>
        </w:rPr>
        <w:t>ía</w:t>
      </w:r>
      <w:r w:rsidRPr="006775F7">
        <w:rPr>
          <w:lang w:val="es-419"/>
        </w:rPr>
        <w:t>n los procesos de mejora continua habituales</w:t>
      </w:r>
    </w:p>
    <w:p w14:paraId="047988B2" w14:textId="77777777" w:rsidR="00B73201" w:rsidRPr="006775F7" w:rsidRDefault="00B73201" w:rsidP="00765CDC">
      <w:pPr>
        <w:jc w:val="both"/>
        <w:rPr>
          <w:lang w:val="es-419"/>
        </w:rPr>
      </w:pPr>
    </w:p>
    <w:p w14:paraId="4C4789CE" w14:textId="77777777" w:rsidR="00B73201" w:rsidRPr="006775F7" w:rsidRDefault="00B73201" w:rsidP="00765CDC">
      <w:pPr>
        <w:jc w:val="both"/>
        <w:rPr>
          <w:lang w:val="es-419"/>
        </w:rPr>
      </w:pPr>
    </w:p>
    <w:p w14:paraId="3BFE2890" w14:textId="77777777" w:rsidR="00631F7D" w:rsidRPr="006775F7" w:rsidRDefault="00631F7D" w:rsidP="00765CDC">
      <w:pPr>
        <w:jc w:val="both"/>
        <w:rPr>
          <w:lang w:val="es-419"/>
        </w:rPr>
      </w:pPr>
      <w:r w:rsidRPr="006775F7">
        <w:rPr>
          <w:lang w:val="es-419"/>
        </w:rPr>
        <w:t>Hasta el momento se han realizado los MVP de Nomenclaturas, Aranceles, Correlaciones, y Comercio Exterior de Bienes.</w:t>
      </w:r>
    </w:p>
    <w:p w14:paraId="278E1865" w14:textId="77777777" w:rsidR="00631F7D" w:rsidRPr="006775F7" w:rsidRDefault="00631F7D" w:rsidP="007164F9">
      <w:pPr>
        <w:rPr>
          <w:lang w:val="es-419"/>
        </w:rPr>
      </w:pPr>
    </w:p>
    <w:p w14:paraId="787B6868" w14:textId="77777777" w:rsidR="00631F7D" w:rsidRPr="006775F7" w:rsidRDefault="00631F7D" w:rsidP="007164F9">
      <w:pPr>
        <w:rPr>
          <w:lang w:val="es-419"/>
        </w:rPr>
      </w:pPr>
    </w:p>
    <w:p w14:paraId="3AB682E1" w14:textId="114AAA7E" w:rsidR="00352729" w:rsidRPr="006775F7" w:rsidRDefault="0084104A" w:rsidP="007164F9">
      <w:pPr>
        <w:rPr>
          <w:lang w:val="es-419"/>
        </w:rPr>
      </w:pPr>
      <w:r w:rsidRPr="006775F7">
        <w:rPr>
          <w:lang w:val="es-419"/>
        </w:rPr>
        <w:t>Periodo</w:t>
      </w:r>
      <w:r w:rsidR="00362367" w:rsidRPr="006775F7">
        <w:rPr>
          <w:lang w:val="es-419"/>
        </w:rPr>
        <w:t>:</w:t>
      </w:r>
      <w:r w:rsidR="0086286B" w:rsidRPr="006775F7">
        <w:rPr>
          <w:lang w:val="es-419"/>
        </w:rPr>
        <w:t xml:space="preserve"> </w:t>
      </w:r>
      <w:r w:rsidRPr="006775F7">
        <w:rPr>
          <w:lang w:val="es-419"/>
        </w:rPr>
        <w:t>julio 2021 a setiembre 2022.</w:t>
      </w:r>
      <w:r w:rsidR="00EE7FD2" w:rsidRPr="006775F7">
        <w:rPr>
          <w:lang w:val="es-419"/>
        </w:rPr>
        <w:t xml:space="preserve"> </w:t>
      </w:r>
    </w:p>
    <w:p w14:paraId="57121253" w14:textId="4D140DC2" w:rsidR="0084104A" w:rsidRPr="006775F7" w:rsidRDefault="0084104A" w:rsidP="0084104A">
      <w:pPr>
        <w:rPr>
          <w:lang w:val="es-419"/>
        </w:rPr>
      </w:pPr>
      <w:r w:rsidRPr="006775F7">
        <w:rPr>
          <w:lang w:val="es-419"/>
        </w:rPr>
        <w:t>Periodo: octubre 2023 a agosto 2024</w:t>
      </w:r>
    </w:p>
    <w:p w14:paraId="1560A8D7" w14:textId="260EEB80" w:rsidR="0084104A" w:rsidRPr="006775F7" w:rsidRDefault="0084104A" w:rsidP="0084104A">
      <w:pPr>
        <w:rPr>
          <w:lang w:val="es-419"/>
        </w:rPr>
      </w:pPr>
      <w:r w:rsidRPr="006775F7">
        <w:rPr>
          <w:lang w:val="es-419"/>
        </w:rPr>
        <w:t xml:space="preserve">Periodo: noviembre 2024 – julio 2026 </w:t>
      </w:r>
    </w:p>
    <w:p w14:paraId="06C7BD32" w14:textId="4EBF7A83" w:rsidR="00352729" w:rsidRPr="006775F7" w:rsidRDefault="00362367" w:rsidP="007164F9">
      <w:pPr>
        <w:rPr>
          <w:lang w:val="es-419"/>
        </w:rPr>
      </w:pPr>
      <w:r w:rsidRPr="006775F7">
        <w:rPr>
          <w:lang w:val="es-419"/>
        </w:rPr>
        <w:t>Duración</w:t>
      </w:r>
      <w:r w:rsidR="00AF1C4D" w:rsidRPr="006775F7">
        <w:rPr>
          <w:lang w:val="es-419"/>
        </w:rPr>
        <w:t xml:space="preserve">: </w:t>
      </w:r>
      <w:r w:rsidR="0084104A" w:rsidRPr="006775F7">
        <w:rPr>
          <w:lang w:val="es-419"/>
        </w:rPr>
        <w:t>1.080</w:t>
      </w:r>
      <w:r w:rsidR="00AF1C4D" w:rsidRPr="006775F7">
        <w:rPr>
          <w:lang w:val="es-419"/>
        </w:rPr>
        <w:t xml:space="preserve"> horas de desarrollo tercerizadas</w:t>
      </w:r>
      <w:r w:rsidR="00FD56D8" w:rsidRPr="006775F7">
        <w:rPr>
          <w:lang w:val="es-419"/>
        </w:rPr>
        <w:t xml:space="preserve"> + horas Desarrollo DIE</w:t>
      </w:r>
      <w:r w:rsidR="00F3616D" w:rsidRPr="006775F7">
        <w:rPr>
          <w:lang w:val="es-419"/>
        </w:rPr>
        <w:t>.</w:t>
      </w:r>
      <w:r w:rsidR="0086286B" w:rsidRPr="006775F7">
        <w:rPr>
          <w:lang w:val="es-419"/>
        </w:rPr>
        <w:br/>
        <w:t>Hitos clave</w:t>
      </w:r>
      <w:r w:rsidRPr="006775F7">
        <w:rPr>
          <w:lang w:val="es-419"/>
        </w:rPr>
        <w:t xml:space="preserve">: </w:t>
      </w:r>
      <w:r w:rsidR="00EE7FD2" w:rsidRPr="006775F7">
        <w:rPr>
          <w:lang w:val="es-419"/>
        </w:rPr>
        <w:t>L</w:t>
      </w:r>
      <w:r w:rsidR="0084104A" w:rsidRPr="006775F7">
        <w:rPr>
          <w:lang w:val="es-419"/>
        </w:rPr>
        <w:t xml:space="preserve">a fecha estimada de finalización es julio de 2026. Sin embargo, dicha estimación estuvo basada en el supuesto de contar con un Desarrollador Senior con un 100% de dedicación en el proyecto, a partir de noviembre 2024, lo cual no ocurrió, dado que el concurso se declaró desierto. </w:t>
      </w:r>
    </w:p>
    <w:p w14:paraId="37B1D745" w14:textId="77777777" w:rsidR="00352729" w:rsidRPr="006775F7" w:rsidRDefault="00352729" w:rsidP="007164F9">
      <w:pPr>
        <w:rPr>
          <w:lang w:val="es-419"/>
        </w:rPr>
      </w:pPr>
    </w:p>
    <w:p w14:paraId="7AF2147D" w14:textId="77777777" w:rsidR="001E5478" w:rsidRPr="006775F7" w:rsidRDefault="001E5478" w:rsidP="007164F9">
      <w:pPr>
        <w:rPr>
          <w:lang w:val="es-419"/>
        </w:rPr>
      </w:pPr>
    </w:p>
    <w:p w14:paraId="3C9C3D12" w14:textId="77777777" w:rsidR="00352729" w:rsidRPr="006775F7" w:rsidRDefault="00362367" w:rsidP="007164F9">
      <w:pPr>
        <w:pStyle w:val="Ttulo1"/>
        <w:spacing w:after="200"/>
        <w:ind w:right="0"/>
        <w:rPr>
          <w:lang w:val="es-419"/>
        </w:rPr>
      </w:pPr>
      <w:bookmarkStart w:id="10" w:name="_66d17do1lzxv" w:colFirst="0" w:colLast="0"/>
      <w:bookmarkEnd w:id="10"/>
      <w:r w:rsidRPr="006775F7">
        <w:rPr>
          <w:lang w:val="es-419"/>
        </w:rPr>
        <w:t>10.- Requisitos de Mantenimiento y Evolución</w:t>
      </w:r>
    </w:p>
    <w:p w14:paraId="757A3B88" w14:textId="13FAD640" w:rsidR="00EE7FD2" w:rsidRPr="006775F7" w:rsidRDefault="00362367" w:rsidP="007164F9">
      <w:pPr>
        <w:rPr>
          <w:lang w:val="es-419"/>
        </w:rPr>
      </w:pPr>
      <w:r w:rsidRPr="006775F7">
        <w:rPr>
          <w:lang w:val="es-419"/>
        </w:rPr>
        <w:t xml:space="preserve">Soporte por </w:t>
      </w:r>
      <w:r w:rsidR="00D00898" w:rsidRPr="006775F7">
        <w:rPr>
          <w:lang w:val="es-419"/>
        </w:rPr>
        <w:t>12</w:t>
      </w:r>
      <w:r w:rsidRPr="006775F7">
        <w:rPr>
          <w:lang w:val="es-419"/>
        </w:rPr>
        <w:t xml:space="preserve"> meses luego de la implementación</w:t>
      </w:r>
      <w:r w:rsidR="00BC4394" w:rsidRPr="006775F7">
        <w:rPr>
          <w:lang w:val="es-419"/>
        </w:rPr>
        <w:t xml:space="preserve"> y puesta en producción</w:t>
      </w:r>
      <w:r w:rsidR="00EE7FD2" w:rsidRPr="006775F7">
        <w:rPr>
          <w:lang w:val="es-419"/>
        </w:rPr>
        <w:t>.</w:t>
      </w:r>
    </w:p>
    <w:p w14:paraId="66563BE5" w14:textId="0AEE5352" w:rsidR="00485A1A" w:rsidRPr="006775F7" w:rsidRDefault="00EE7FD2" w:rsidP="00765CDC">
      <w:pPr>
        <w:jc w:val="both"/>
        <w:rPr>
          <w:lang w:val="es-419"/>
        </w:rPr>
      </w:pPr>
      <w:r w:rsidRPr="006775F7">
        <w:rPr>
          <w:lang w:val="es-419"/>
        </w:rPr>
        <w:lastRenderedPageBreak/>
        <w:t xml:space="preserve"> </w:t>
      </w:r>
      <w:r w:rsidR="00BC4394" w:rsidRPr="006775F7">
        <w:rPr>
          <w:lang w:val="es-419"/>
        </w:rPr>
        <w:br/>
        <w:t>Capacitación:</w:t>
      </w:r>
      <w:r w:rsidR="00485A1A" w:rsidRPr="006775F7">
        <w:rPr>
          <w:lang w:val="es-419"/>
        </w:rPr>
        <w:t xml:space="preserve"> </w:t>
      </w:r>
      <w:r w:rsidR="00D00898" w:rsidRPr="006775F7">
        <w:rPr>
          <w:lang w:val="es-419"/>
        </w:rPr>
        <w:t xml:space="preserve">La capacitación a usuarios se estará realizando a lo largo del proyecto, y se contará con Manuales de usuario y manuales técnicos. </w:t>
      </w:r>
      <w:r w:rsidR="00485A1A" w:rsidRPr="006775F7">
        <w:rPr>
          <w:lang w:val="es-419"/>
        </w:rPr>
        <w:t xml:space="preserve"> </w:t>
      </w:r>
    </w:p>
    <w:p w14:paraId="50DFAE8F" w14:textId="5C4A8E7A" w:rsidR="00352729" w:rsidRPr="006775F7" w:rsidRDefault="00EE7FD2" w:rsidP="00765CDC">
      <w:pPr>
        <w:jc w:val="both"/>
        <w:rPr>
          <w:lang w:val="es-419"/>
        </w:rPr>
      </w:pPr>
      <w:r w:rsidRPr="006775F7">
        <w:rPr>
          <w:lang w:val="es-419"/>
        </w:rPr>
        <w:t>La inducción inicial y traspaso de conocimientos</w:t>
      </w:r>
      <w:r w:rsidR="007F65C0" w:rsidRPr="006775F7">
        <w:rPr>
          <w:lang w:val="es-419"/>
        </w:rPr>
        <w:t xml:space="preserve"> para iniciar la implementación</w:t>
      </w:r>
      <w:r w:rsidRPr="006775F7">
        <w:rPr>
          <w:lang w:val="es-419"/>
        </w:rPr>
        <w:t xml:space="preserve"> lleva aproximadamente </w:t>
      </w:r>
      <w:r w:rsidR="00D00898" w:rsidRPr="006775F7">
        <w:rPr>
          <w:lang w:val="es-419"/>
        </w:rPr>
        <w:t>6</w:t>
      </w:r>
      <w:r w:rsidRPr="006775F7">
        <w:rPr>
          <w:lang w:val="es-419"/>
        </w:rPr>
        <w:t xml:space="preserve"> meses</w:t>
      </w:r>
      <w:r w:rsidR="00D00898" w:rsidRPr="006775F7">
        <w:rPr>
          <w:lang w:val="es-419"/>
        </w:rPr>
        <w:t>, dependiendo de la dedicación</w:t>
      </w:r>
      <w:r w:rsidRPr="006775F7">
        <w:rPr>
          <w:lang w:val="es-419"/>
        </w:rPr>
        <w:t xml:space="preserve">. </w:t>
      </w:r>
    </w:p>
    <w:p w14:paraId="303887AE" w14:textId="77777777" w:rsidR="00352729" w:rsidRPr="006775F7" w:rsidRDefault="00352729" w:rsidP="007164F9">
      <w:pPr>
        <w:rPr>
          <w:lang w:val="es-419"/>
        </w:rPr>
      </w:pPr>
    </w:p>
    <w:p w14:paraId="03B9EEFD" w14:textId="77777777" w:rsidR="00352729" w:rsidRPr="006775F7" w:rsidRDefault="00362367" w:rsidP="007164F9">
      <w:pPr>
        <w:pStyle w:val="Ttulo1"/>
        <w:ind w:right="0"/>
        <w:rPr>
          <w:lang w:val="es-419"/>
        </w:rPr>
      </w:pPr>
      <w:bookmarkStart w:id="11" w:name="_xcw8fu811bf" w:colFirst="0" w:colLast="0"/>
      <w:bookmarkEnd w:id="11"/>
      <w:r w:rsidRPr="006775F7">
        <w:rPr>
          <w:lang w:val="es-419"/>
        </w:rPr>
        <w:t>11.- Costos</w:t>
      </w:r>
    </w:p>
    <w:p w14:paraId="77EA5846" w14:textId="5790C1A8" w:rsidR="00631F7D" w:rsidRPr="006775F7" w:rsidRDefault="00631F7D" w:rsidP="00631F7D">
      <w:pPr>
        <w:rPr>
          <w:lang w:val="es-419"/>
        </w:rPr>
      </w:pPr>
      <w:r w:rsidRPr="006775F7">
        <w:rPr>
          <w:lang w:val="es-419"/>
        </w:rPr>
        <w:t>La versión en desarrollo del Sistema se encuentra en GeneXus 17 generando Java.</w:t>
      </w:r>
    </w:p>
    <w:p w14:paraId="77AF44DC" w14:textId="77777777" w:rsidR="00AF45D2" w:rsidRPr="006775F7" w:rsidRDefault="00AF45D2" w:rsidP="007164F9">
      <w:pPr>
        <w:rPr>
          <w:lang w:val="es-419"/>
        </w:rPr>
      </w:pPr>
    </w:p>
    <w:p w14:paraId="4264DB50" w14:textId="6CD9B986" w:rsidR="00352729" w:rsidRDefault="00BC4394" w:rsidP="007164F9">
      <w:pPr>
        <w:rPr>
          <w:lang w:val="es-419"/>
        </w:rPr>
      </w:pPr>
      <w:r w:rsidRPr="006775F7">
        <w:rPr>
          <w:lang w:val="es-419"/>
        </w:rPr>
        <w:t>Licencias compartidas con otros desarrollos:</w:t>
      </w:r>
    </w:p>
    <w:p w14:paraId="12F7FECB" w14:textId="77777777" w:rsidR="00081602" w:rsidRPr="006775F7" w:rsidRDefault="00081602" w:rsidP="007164F9">
      <w:pPr>
        <w:rPr>
          <w:lang w:val="es-419"/>
        </w:rPr>
      </w:pPr>
    </w:p>
    <w:tbl>
      <w:tblPr>
        <w:tblStyle w:val="a"/>
        <w:tblW w:w="10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0"/>
        <w:gridCol w:w="5000"/>
      </w:tblGrid>
      <w:tr w:rsidR="00352729" w:rsidRPr="006775F7" w14:paraId="1030855D" w14:textId="77777777">
        <w:trPr>
          <w:jc w:val="center"/>
        </w:trPr>
        <w:tc>
          <w:tcPr>
            <w:tcW w:w="5000" w:type="dxa"/>
            <w:shd w:val="clear" w:color="auto" w:fill="auto"/>
            <w:tcMar>
              <w:top w:w="100" w:type="dxa"/>
              <w:left w:w="100" w:type="dxa"/>
              <w:bottom w:w="100" w:type="dxa"/>
              <w:right w:w="100" w:type="dxa"/>
            </w:tcMar>
          </w:tcPr>
          <w:p w14:paraId="323E5352" w14:textId="77777777" w:rsidR="00352729" w:rsidRPr="006775F7" w:rsidRDefault="00362367" w:rsidP="007164F9">
            <w:pPr>
              <w:widowControl w:val="0"/>
              <w:pBdr>
                <w:top w:val="nil"/>
                <w:left w:val="nil"/>
                <w:bottom w:val="nil"/>
                <w:right w:val="nil"/>
                <w:between w:val="nil"/>
              </w:pBdr>
              <w:spacing w:line="240" w:lineRule="auto"/>
              <w:jc w:val="center"/>
              <w:rPr>
                <w:b/>
                <w:lang w:val="es-419"/>
              </w:rPr>
            </w:pPr>
            <w:r w:rsidRPr="006775F7">
              <w:rPr>
                <w:b/>
                <w:lang w:val="es-419"/>
              </w:rPr>
              <w:t>Item</w:t>
            </w:r>
          </w:p>
        </w:tc>
        <w:tc>
          <w:tcPr>
            <w:tcW w:w="5000" w:type="dxa"/>
            <w:shd w:val="clear" w:color="auto" w:fill="auto"/>
            <w:tcMar>
              <w:top w:w="100" w:type="dxa"/>
              <w:left w:w="100" w:type="dxa"/>
              <w:bottom w:w="100" w:type="dxa"/>
              <w:right w:w="100" w:type="dxa"/>
            </w:tcMar>
          </w:tcPr>
          <w:p w14:paraId="1C0F40AA" w14:textId="77777777" w:rsidR="00352729" w:rsidRPr="006775F7" w:rsidRDefault="00362367" w:rsidP="007164F9">
            <w:pPr>
              <w:widowControl w:val="0"/>
              <w:pBdr>
                <w:top w:val="nil"/>
                <w:left w:val="nil"/>
                <w:bottom w:val="nil"/>
                <w:right w:val="nil"/>
                <w:between w:val="nil"/>
              </w:pBdr>
              <w:spacing w:line="240" w:lineRule="auto"/>
              <w:jc w:val="center"/>
              <w:rPr>
                <w:b/>
                <w:lang w:val="es-419"/>
              </w:rPr>
            </w:pPr>
            <w:r w:rsidRPr="006775F7">
              <w:rPr>
                <w:b/>
                <w:lang w:val="es-419"/>
              </w:rPr>
              <w:t>Monto</w:t>
            </w:r>
          </w:p>
        </w:tc>
      </w:tr>
      <w:tr w:rsidR="00EF4FBA" w:rsidRPr="006775F7" w14:paraId="0C9FC250" w14:textId="77777777" w:rsidTr="00D032F5">
        <w:trPr>
          <w:jc w:val="center"/>
        </w:trPr>
        <w:tc>
          <w:tcPr>
            <w:tcW w:w="5000" w:type="dxa"/>
            <w:shd w:val="clear" w:color="auto" w:fill="auto"/>
            <w:tcMar>
              <w:top w:w="100" w:type="dxa"/>
              <w:left w:w="100" w:type="dxa"/>
              <w:bottom w:w="100" w:type="dxa"/>
              <w:right w:w="100" w:type="dxa"/>
            </w:tcMar>
          </w:tcPr>
          <w:p w14:paraId="5B5AE317" w14:textId="77777777" w:rsidR="00EF4FBA" w:rsidRPr="004D12B2" w:rsidRDefault="00EF4FBA" w:rsidP="00D032F5">
            <w:pPr>
              <w:widowControl w:val="0"/>
              <w:pBdr>
                <w:top w:val="nil"/>
                <w:left w:val="nil"/>
                <w:bottom w:val="nil"/>
                <w:right w:val="nil"/>
                <w:between w:val="nil"/>
              </w:pBdr>
              <w:spacing w:line="240" w:lineRule="auto"/>
              <w:rPr>
                <w:lang w:val="es-419"/>
              </w:rPr>
            </w:pPr>
            <w:r w:rsidRPr="004D12B2">
              <w:rPr>
                <w:lang w:val="es-419"/>
              </w:rPr>
              <w:t>Licencia de GeneXus #1</w:t>
            </w:r>
          </w:p>
        </w:tc>
        <w:tc>
          <w:tcPr>
            <w:tcW w:w="5000" w:type="dxa"/>
            <w:shd w:val="clear" w:color="auto" w:fill="auto"/>
            <w:tcMar>
              <w:top w:w="100" w:type="dxa"/>
              <w:left w:w="100" w:type="dxa"/>
              <w:bottom w:w="100" w:type="dxa"/>
              <w:right w:w="100" w:type="dxa"/>
            </w:tcMar>
          </w:tcPr>
          <w:p w14:paraId="48C6C5D1" w14:textId="6F3753EC" w:rsidR="00EF4FBA" w:rsidRPr="00081602" w:rsidRDefault="00D9175C" w:rsidP="007F476D">
            <w:pPr>
              <w:widowControl w:val="0"/>
              <w:pBdr>
                <w:top w:val="nil"/>
                <w:left w:val="nil"/>
                <w:bottom w:val="nil"/>
                <w:right w:val="nil"/>
                <w:between w:val="nil"/>
              </w:pBdr>
              <w:spacing w:line="240" w:lineRule="auto"/>
              <w:rPr>
                <w:highlight w:val="yellow"/>
                <w:lang w:val="es-419"/>
              </w:rPr>
            </w:pPr>
            <w:r w:rsidRPr="00E52188">
              <w:rPr>
                <w:lang w:val="es-419"/>
              </w:rPr>
              <w:t xml:space="preserve">USD </w:t>
            </w:r>
            <w:r>
              <w:rPr>
                <w:lang w:val="es-419"/>
              </w:rPr>
              <w:t>3</w:t>
            </w:r>
            <w:r w:rsidRPr="00E52188">
              <w:rPr>
                <w:lang w:val="es-419"/>
              </w:rPr>
              <w:t>.</w:t>
            </w:r>
            <w:r>
              <w:rPr>
                <w:lang w:val="es-419"/>
              </w:rPr>
              <w:t>11</w:t>
            </w:r>
            <w:r w:rsidRPr="00E52188">
              <w:rPr>
                <w:lang w:val="es-419"/>
              </w:rPr>
              <w:t>9 (dólares americanos)</w:t>
            </w:r>
          </w:p>
        </w:tc>
      </w:tr>
      <w:tr w:rsidR="00352729" w:rsidRPr="006775F7" w14:paraId="7AE71F0F" w14:textId="77777777">
        <w:trPr>
          <w:jc w:val="center"/>
        </w:trPr>
        <w:tc>
          <w:tcPr>
            <w:tcW w:w="5000" w:type="dxa"/>
            <w:shd w:val="clear" w:color="auto" w:fill="auto"/>
            <w:tcMar>
              <w:top w:w="100" w:type="dxa"/>
              <w:left w:w="100" w:type="dxa"/>
              <w:bottom w:w="100" w:type="dxa"/>
              <w:right w:w="100" w:type="dxa"/>
            </w:tcMar>
          </w:tcPr>
          <w:p w14:paraId="3078FED4" w14:textId="069F42D2" w:rsidR="00352729" w:rsidRPr="004D12B2" w:rsidRDefault="00362367" w:rsidP="007164F9">
            <w:pPr>
              <w:widowControl w:val="0"/>
              <w:pBdr>
                <w:top w:val="nil"/>
                <w:left w:val="nil"/>
                <w:bottom w:val="nil"/>
                <w:right w:val="nil"/>
                <w:between w:val="nil"/>
              </w:pBdr>
              <w:spacing w:line="240" w:lineRule="auto"/>
              <w:rPr>
                <w:lang w:val="es-419"/>
              </w:rPr>
            </w:pPr>
            <w:r w:rsidRPr="004D12B2">
              <w:rPr>
                <w:lang w:val="es-419"/>
              </w:rPr>
              <w:t>Licencia de GeneXus</w:t>
            </w:r>
            <w:r w:rsidR="00EF4FBA" w:rsidRPr="004D12B2">
              <w:rPr>
                <w:lang w:val="es-419"/>
              </w:rPr>
              <w:t xml:space="preserve"> #2</w:t>
            </w:r>
          </w:p>
        </w:tc>
        <w:tc>
          <w:tcPr>
            <w:tcW w:w="5000" w:type="dxa"/>
            <w:shd w:val="clear" w:color="auto" w:fill="auto"/>
            <w:tcMar>
              <w:top w:w="100" w:type="dxa"/>
              <w:left w:w="100" w:type="dxa"/>
              <w:bottom w:w="100" w:type="dxa"/>
              <w:right w:w="100" w:type="dxa"/>
            </w:tcMar>
          </w:tcPr>
          <w:p w14:paraId="2CD4CDC7" w14:textId="6F1A193A" w:rsidR="00352729" w:rsidRPr="00081602" w:rsidRDefault="00E52188" w:rsidP="007F476D">
            <w:pPr>
              <w:widowControl w:val="0"/>
              <w:pBdr>
                <w:top w:val="nil"/>
                <w:left w:val="nil"/>
                <w:bottom w:val="nil"/>
                <w:right w:val="nil"/>
                <w:between w:val="nil"/>
              </w:pBdr>
              <w:spacing w:line="240" w:lineRule="auto"/>
              <w:rPr>
                <w:highlight w:val="yellow"/>
                <w:lang w:val="es-419"/>
              </w:rPr>
            </w:pPr>
            <w:r w:rsidRPr="00E52188">
              <w:rPr>
                <w:lang w:val="es-419"/>
              </w:rPr>
              <w:t>USD 2.281 (dólares americanos)</w:t>
            </w:r>
          </w:p>
        </w:tc>
      </w:tr>
      <w:tr w:rsidR="00352729" w:rsidRPr="006775F7" w14:paraId="799704B5" w14:textId="77777777">
        <w:trPr>
          <w:jc w:val="center"/>
        </w:trPr>
        <w:tc>
          <w:tcPr>
            <w:tcW w:w="5000" w:type="dxa"/>
            <w:shd w:val="clear" w:color="auto" w:fill="auto"/>
            <w:tcMar>
              <w:top w:w="100" w:type="dxa"/>
              <w:left w:w="100" w:type="dxa"/>
              <w:bottom w:w="100" w:type="dxa"/>
              <w:right w:w="100" w:type="dxa"/>
            </w:tcMar>
          </w:tcPr>
          <w:p w14:paraId="0F9F8581" w14:textId="77777777" w:rsidR="00352729" w:rsidRPr="004D12B2" w:rsidRDefault="00362367" w:rsidP="007164F9">
            <w:pPr>
              <w:widowControl w:val="0"/>
              <w:pBdr>
                <w:top w:val="nil"/>
                <w:left w:val="nil"/>
                <w:bottom w:val="nil"/>
                <w:right w:val="nil"/>
                <w:between w:val="nil"/>
              </w:pBdr>
              <w:spacing w:line="240" w:lineRule="auto"/>
              <w:rPr>
                <w:lang w:val="es-419"/>
              </w:rPr>
            </w:pPr>
            <w:r w:rsidRPr="004D12B2">
              <w:rPr>
                <w:lang w:val="es-419"/>
              </w:rPr>
              <w:t>Servicio de GeneXus Server</w:t>
            </w:r>
          </w:p>
        </w:tc>
        <w:tc>
          <w:tcPr>
            <w:tcW w:w="5000" w:type="dxa"/>
            <w:shd w:val="clear" w:color="auto" w:fill="auto"/>
            <w:tcMar>
              <w:top w:w="100" w:type="dxa"/>
              <w:left w:w="100" w:type="dxa"/>
              <w:bottom w:w="100" w:type="dxa"/>
              <w:right w:w="100" w:type="dxa"/>
            </w:tcMar>
          </w:tcPr>
          <w:p w14:paraId="75D14D7F" w14:textId="3C6DBDE3" w:rsidR="00352729" w:rsidRPr="004D12B2" w:rsidRDefault="007F476D" w:rsidP="007F476D">
            <w:pPr>
              <w:widowControl w:val="0"/>
              <w:spacing w:line="240" w:lineRule="auto"/>
              <w:rPr>
                <w:lang w:val="es-419"/>
              </w:rPr>
            </w:pPr>
            <w:r w:rsidRPr="004D12B2">
              <w:rPr>
                <w:lang w:val="es-419"/>
              </w:rPr>
              <w:t>USD 1.610 (dólares americanos)</w:t>
            </w:r>
          </w:p>
        </w:tc>
      </w:tr>
      <w:tr w:rsidR="00603EDE" w:rsidRPr="006775F7" w14:paraId="6E51BAF6" w14:textId="77777777">
        <w:trPr>
          <w:jc w:val="center"/>
        </w:trPr>
        <w:tc>
          <w:tcPr>
            <w:tcW w:w="5000" w:type="dxa"/>
            <w:shd w:val="clear" w:color="auto" w:fill="auto"/>
            <w:tcMar>
              <w:top w:w="100" w:type="dxa"/>
              <w:left w:w="100" w:type="dxa"/>
              <w:bottom w:w="100" w:type="dxa"/>
              <w:right w:w="100" w:type="dxa"/>
            </w:tcMar>
          </w:tcPr>
          <w:p w14:paraId="762A1C51" w14:textId="33E9BB3E" w:rsidR="00603EDE" w:rsidRPr="006775F7" w:rsidRDefault="00603EDE" w:rsidP="007164F9">
            <w:pPr>
              <w:widowControl w:val="0"/>
              <w:pBdr>
                <w:top w:val="nil"/>
                <w:left w:val="nil"/>
                <w:bottom w:val="nil"/>
                <w:right w:val="nil"/>
                <w:between w:val="nil"/>
              </w:pBdr>
              <w:spacing w:line="240" w:lineRule="auto"/>
              <w:rPr>
                <w:lang w:val="es-419"/>
              </w:rPr>
            </w:pPr>
            <w:r>
              <w:rPr>
                <w:lang w:val="es-419"/>
              </w:rPr>
              <w:t>Power9</w:t>
            </w:r>
          </w:p>
        </w:tc>
        <w:tc>
          <w:tcPr>
            <w:tcW w:w="5000" w:type="dxa"/>
            <w:shd w:val="clear" w:color="auto" w:fill="auto"/>
            <w:tcMar>
              <w:top w:w="100" w:type="dxa"/>
              <w:left w:w="100" w:type="dxa"/>
              <w:bottom w:w="100" w:type="dxa"/>
              <w:right w:w="100" w:type="dxa"/>
            </w:tcMar>
          </w:tcPr>
          <w:p w14:paraId="6E88E9A3" w14:textId="77777777" w:rsidR="00603EDE" w:rsidRDefault="00765CDC" w:rsidP="007F476D">
            <w:pPr>
              <w:widowControl w:val="0"/>
              <w:spacing w:line="240" w:lineRule="auto"/>
              <w:rPr>
                <w:lang w:val="es-UY"/>
              </w:rPr>
            </w:pPr>
            <w:r>
              <w:rPr>
                <w:lang w:val="es-419"/>
              </w:rPr>
              <w:t xml:space="preserve">USD </w:t>
            </w:r>
            <w:r w:rsidR="000848F1" w:rsidRPr="000848F1">
              <w:rPr>
                <w:lang w:val="es-UY"/>
              </w:rPr>
              <w:t>16.797,28 (dólares americanos)</w:t>
            </w:r>
            <w:r w:rsidR="00F072ED">
              <w:rPr>
                <w:lang w:val="es-UY"/>
              </w:rPr>
              <w:t xml:space="preserve"> </w:t>
            </w:r>
          </w:p>
          <w:p w14:paraId="488D430A" w14:textId="3616518D" w:rsidR="00F072ED" w:rsidRPr="006775F7" w:rsidRDefault="00F072ED" w:rsidP="007F476D">
            <w:pPr>
              <w:widowControl w:val="0"/>
              <w:spacing w:line="240" w:lineRule="auto"/>
              <w:rPr>
                <w:lang w:val="es-419"/>
              </w:rPr>
            </w:pPr>
            <w:r>
              <w:rPr>
                <w:lang w:val="es-UY"/>
              </w:rPr>
              <w:t>Costo de mantenimiento Anual</w:t>
            </w:r>
          </w:p>
        </w:tc>
      </w:tr>
      <w:tr w:rsidR="006916C7" w:rsidRPr="006775F7" w14:paraId="2CE17D06" w14:textId="77777777">
        <w:trPr>
          <w:jc w:val="center"/>
        </w:trPr>
        <w:tc>
          <w:tcPr>
            <w:tcW w:w="5000" w:type="dxa"/>
            <w:shd w:val="clear" w:color="auto" w:fill="auto"/>
            <w:tcMar>
              <w:top w:w="100" w:type="dxa"/>
              <w:left w:w="100" w:type="dxa"/>
              <w:bottom w:w="100" w:type="dxa"/>
              <w:right w:w="100" w:type="dxa"/>
            </w:tcMar>
          </w:tcPr>
          <w:p w14:paraId="55A3ABBA" w14:textId="07C1E389" w:rsidR="006916C7" w:rsidRDefault="006916C7" w:rsidP="007164F9">
            <w:pPr>
              <w:widowControl w:val="0"/>
              <w:pBdr>
                <w:top w:val="nil"/>
                <w:left w:val="nil"/>
                <w:bottom w:val="nil"/>
                <w:right w:val="nil"/>
                <w:between w:val="nil"/>
              </w:pBdr>
              <w:spacing w:line="240" w:lineRule="auto"/>
              <w:rPr>
                <w:lang w:val="es-419"/>
              </w:rPr>
            </w:pPr>
            <w:r>
              <w:rPr>
                <w:lang w:val="es-419"/>
              </w:rPr>
              <w:t>Tercerizaciones</w:t>
            </w:r>
          </w:p>
        </w:tc>
        <w:tc>
          <w:tcPr>
            <w:tcW w:w="5000" w:type="dxa"/>
            <w:shd w:val="clear" w:color="auto" w:fill="auto"/>
            <w:tcMar>
              <w:top w:w="100" w:type="dxa"/>
              <w:left w:w="100" w:type="dxa"/>
              <w:bottom w:w="100" w:type="dxa"/>
              <w:right w:w="100" w:type="dxa"/>
            </w:tcMar>
          </w:tcPr>
          <w:p w14:paraId="02FFDD82" w14:textId="18433369" w:rsidR="006916C7" w:rsidRDefault="006916C7" w:rsidP="007F476D">
            <w:pPr>
              <w:widowControl w:val="0"/>
              <w:spacing w:line="240" w:lineRule="auto"/>
              <w:rPr>
                <w:lang w:val="es-419"/>
              </w:rPr>
            </w:pPr>
            <w:r>
              <w:rPr>
                <w:lang w:val="es-419"/>
              </w:rPr>
              <w:t>USD 44.640 (dólares americanos)</w:t>
            </w:r>
          </w:p>
        </w:tc>
      </w:tr>
    </w:tbl>
    <w:p w14:paraId="3D12AD39" w14:textId="3DA9C0B8" w:rsidR="00352729" w:rsidRPr="006775F7" w:rsidRDefault="00352729" w:rsidP="00B73201">
      <w:pPr>
        <w:rPr>
          <w:lang w:val="es-419"/>
        </w:rPr>
      </w:pPr>
    </w:p>
    <w:sectPr w:rsidR="00352729" w:rsidRPr="006775F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F5ECD" w14:textId="77777777" w:rsidR="00F85942" w:rsidRDefault="00F85942" w:rsidP="00B62AC1">
      <w:pPr>
        <w:spacing w:line="240" w:lineRule="auto"/>
      </w:pPr>
      <w:r>
        <w:separator/>
      </w:r>
    </w:p>
  </w:endnote>
  <w:endnote w:type="continuationSeparator" w:id="0">
    <w:p w14:paraId="7FE6E603" w14:textId="77777777" w:rsidR="00F85942" w:rsidRDefault="00F85942" w:rsidP="00B62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4390" w14:textId="77777777" w:rsidR="00F85942" w:rsidRDefault="00F85942" w:rsidP="00B62AC1">
      <w:pPr>
        <w:spacing w:line="240" w:lineRule="auto"/>
      </w:pPr>
      <w:r>
        <w:separator/>
      </w:r>
    </w:p>
  </w:footnote>
  <w:footnote w:type="continuationSeparator" w:id="0">
    <w:p w14:paraId="100F2976" w14:textId="77777777" w:rsidR="00F85942" w:rsidRDefault="00F85942" w:rsidP="00B62AC1">
      <w:pPr>
        <w:spacing w:line="240" w:lineRule="auto"/>
      </w:pPr>
      <w:r>
        <w:continuationSeparator/>
      </w:r>
    </w:p>
  </w:footnote>
  <w:footnote w:id="1">
    <w:p w14:paraId="24CF7B7D" w14:textId="27865B0A" w:rsidR="00B62AC1" w:rsidRPr="00B62AC1" w:rsidRDefault="00B62AC1">
      <w:pPr>
        <w:pStyle w:val="Textonotapie"/>
        <w:rPr>
          <w:lang w:val="es-ES"/>
        </w:rPr>
      </w:pPr>
      <w:r>
        <w:rPr>
          <w:rStyle w:val="Refdenotaalpie"/>
        </w:rPr>
        <w:footnoteRef/>
      </w:r>
      <w:r>
        <w:t xml:space="preserve"> </w:t>
      </w:r>
      <w:r w:rsidRPr="00B62AC1">
        <w:rPr>
          <w:color w:val="000000"/>
          <w:sz w:val="16"/>
          <w:szCs w:val="16"/>
        </w:rPr>
        <w:t>E</w:t>
      </w:r>
      <w:r w:rsidRPr="00B62AC1">
        <w:rPr>
          <w:sz w:val="16"/>
          <w:szCs w:val="16"/>
        </w:rPr>
        <w:t xml:space="preserve">ste </w:t>
      </w:r>
      <w:r w:rsidRPr="00B62AC1">
        <w:rPr>
          <w:color w:val="000000"/>
          <w:sz w:val="16"/>
          <w:szCs w:val="16"/>
        </w:rPr>
        <w:t xml:space="preserve">módulo </w:t>
      </w:r>
      <w:r w:rsidRPr="00B62AC1">
        <w:rPr>
          <w:sz w:val="16"/>
          <w:szCs w:val="16"/>
        </w:rPr>
        <w:t>está desarrollado en</w:t>
      </w:r>
      <w:r w:rsidRPr="00B62AC1">
        <w:rPr>
          <w:color w:val="000000"/>
          <w:sz w:val="16"/>
          <w:szCs w:val="16"/>
        </w:rPr>
        <w:t xml:space="preserve"> PHP</w:t>
      </w:r>
      <w:r w:rsidRPr="00B62AC1">
        <w:rPr>
          <w:sz w:val="16"/>
          <w:szCs w:val="16"/>
        </w:rPr>
        <w:t xml:space="preserve"> y</w:t>
      </w:r>
      <w:r w:rsidRPr="00B62AC1">
        <w:rPr>
          <w:color w:val="000000"/>
          <w:sz w:val="16"/>
          <w:szCs w:val="16"/>
        </w:rPr>
        <w:t xml:space="preserve"> se prevé su integración con el nuevo modelo en una etapa posterior.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4EEB"/>
    <w:multiLevelType w:val="multilevel"/>
    <w:tmpl w:val="8242942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C156D14"/>
    <w:multiLevelType w:val="hybridMultilevel"/>
    <w:tmpl w:val="E6304E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EA7014A"/>
    <w:multiLevelType w:val="multilevel"/>
    <w:tmpl w:val="3AB6DE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D87053"/>
    <w:multiLevelType w:val="multilevel"/>
    <w:tmpl w:val="DA300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262A13"/>
    <w:multiLevelType w:val="multilevel"/>
    <w:tmpl w:val="AFFCE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6624A7"/>
    <w:multiLevelType w:val="multilevel"/>
    <w:tmpl w:val="CC6273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3A013A2"/>
    <w:multiLevelType w:val="multilevel"/>
    <w:tmpl w:val="AA10AD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61C6A46"/>
    <w:multiLevelType w:val="multilevel"/>
    <w:tmpl w:val="76FC4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641C89"/>
    <w:multiLevelType w:val="hybridMultilevel"/>
    <w:tmpl w:val="D3B8F8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1B6765A"/>
    <w:multiLevelType w:val="multilevel"/>
    <w:tmpl w:val="777062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5E0F42FF"/>
    <w:multiLevelType w:val="multilevel"/>
    <w:tmpl w:val="063E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B025C"/>
    <w:multiLevelType w:val="multilevel"/>
    <w:tmpl w:val="80187E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1B23573"/>
    <w:multiLevelType w:val="multilevel"/>
    <w:tmpl w:val="796A5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325C6E"/>
    <w:multiLevelType w:val="multilevel"/>
    <w:tmpl w:val="69822E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4C530EB"/>
    <w:multiLevelType w:val="multilevel"/>
    <w:tmpl w:val="BB0C57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687E66B0"/>
    <w:multiLevelType w:val="hybridMultilevel"/>
    <w:tmpl w:val="64E2CF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DCE41ED"/>
    <w:multiLevelType w:val="hybridMultilevel"/>
    <w:tmpl w:val="50228A8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029572043">
    <w:abstractNumId w:val="8"/>
  </w:num>
  <w:num w:numId="2" w16cid:durableId="1708290283">
    <w:abstractNumId w:val="16"/>
  </w:num>
  <w:num w:numId="3" w16cid:durableId="759181443">
    <w:abstractNumId w:val="1"/>
  </w:num>
  <w:num w:numId="4" w16cid:durableId="1681085507">
    <w:abstractNumId w:val="15"/>
  </w:num>
  <w:num w:numId="5" w16cid:durableId="1669165681">
    <w:abstractNumId w:val="4"/>
  </w:num>
  <w:num w:numId="6" w16cid:durableId="352734560">
    <w:abstractNumId w:val="6"/>
  </w:num>
  <w:num w:numId="7" w16cid:durableId="726803766">
    <w:abstractNumId w:val="0"/>
  </w:num>
  <w:num w:numId="8" w16cid:durableId="1739942264">
    <w:abstractNumId w:val="11"/>
  </w:num>
  <w:num w:numId="9" w16cid:durableId="1091005618">
    <w:abstractNumId w:val="14"/>
  </w:num>
  <w:num w:numId="10" w16cid:durableId="1815444045">
    <w:abstractNumId w:val="9"/>
  </w:num>
  <w:num w:numId="11" w16cid:durableId="1577857599">
    <w:abstractNumId w:val="5"/>
  </w:num>
  <w:num w:numId="12" w16cid:durableId="1753046599">
    <w:abstractNumId w:val="3"/>
  </w:num>
  <w:num w:numId="13" w16cid:durableId="233901166">
    <w:abstractNumId w:val="7"/>
  </w:num>
  <w:num w:numId="14" w16cid:durableId="1379742997">
    <w:abstractNumId w:val="2"/>
  </w:num>
  <w:num w:numId="15" w16cid:durableId="534658826">
    <w:abstractNumId w:val="10"/>
  </w:num>
  <w:num w:numId="16" w16cid:durableId="1119953857">
    <w:abstractNumId w:val="12"/>
  </w:num>
  <w:num w:numId="17" w16cid:durableId="79330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29"/>
    <w:rsid w:val="00046BFF"/>
    <w:rsid w:val="00056F94"/>
    <w:rsid w:val="00081602"/>
    <w:rsid w:val="000848F1"/>
    <w:rsid w:val="0011562D"/>
    <w:rsid w:val="00147CE0"/>
    <w:rsid w:val="001540A7"/>
    <w:rsid w:val="00171176"/>
    <w:rsid w:val="001C33A2"/>
    <w:rsid w:val="001E3CC2"/>
    <w:rsid w:val="001E5478"/>
    <w:rsid w:val="001F3475"/>
    <w:rsid w:val="00214356"/>
    <w:rsid w:val="00244337"/>
    <w:rsid w:val="0025652D"/>
    <w:rsid w:val="00257B00"/>
    <w:rsid w:val="002878D3"/>
    <w:rsid w:val="002C4B27"/>
    <w:rsid w:val="00352729"/>
    <w:rsid w:val="00362367"/>
    <w:rsid w:val="0039518C"/>
    <w:rsid w:val="003E20C6"/>
    <w:rsid w:val="003E52DE"/>
    <w:rsid w:val="00407AF7"/>
    <w:rsid w:val="00470161"/>
    <w:rsid w:val="00485A1A"/>
    <w:rsid w:val="004961FB"/>
    <w:rsid w:val="00496581"/>
    <w:rsid w:val="004D12B2"/>
    <w:rsid w:val="005A0AA6"/>
    <w:rsid w:val="005B7954"/>
    <w:rsid w:val="005E2847"/>
    <w:rsid w:val="00603EDE"/>
    <w:rsid w:val="00631F7D"/>
    <w:rsid w:val="0064015D"/>
    <w:rsid w:val="006422C5"/>
    <w:rsid w:val="006775F7"/>
    <w:rsid w:val="006909DB"/>
    <w:rsid w:val="006916C7"/>
    <w:rsid w:val="006B0C74"/>
    <w:rsid w:val="006C0442"/>
    <w:rsid w:val="007164F9"/>
    <w:rsid w:val="00721A58"/>
    <w:rsid w:val="00765CDC"/>
    <w:rsid w:val="007964B6"/>
    <w:rsid w:val="007F476D"/>
    <w:rsid w:val="007F65C0"/>
    <w:rsid w:val="0084104A"/>
    <w:rsid w:val="0085424E"/>
    <w:rsid w:val="00855BA0"/>
    <w:rsid w:val="0086286B"/>
    <w:rsid w:val="00895F05"/>
    <w:rsid w:val="008B3509"/>
    <w:rsid w:val="00942A4F"/>
    <w:rsid w:val="00970783"/>
    <w:rsid w:val="009A3A55"/>
    <w:rsid w:val="009B7F7B"/>
    <w:rsid w:val="009E57F7"/>
    <w:rsid w:val="00A00BD2"/>
    <w:rsid w:val="00A0156F"/>
    <w:rsid w:val="00A349B0"/>
    <w:rsid w:val="00A873BE"/>
    <w:rsid w:val="00AA6899"/>
    <w:rsid w:val="00AF1C4D"/>
    <w:rsid w:val="00AF45D2"/>
    <w:rsid w:val="00B31381"/>
    <w:rsid w:val="00B6229C"/>
    <w:rsid w:val="00B62AC1"/>
    <w:rsid w:val="00B73201"/>
    <w:rsid w:val="00BA42B1"/>
    <w:rsid w:val="00BA5876"/>
    <w:rsid w:val="00BC1791"/>
    <w:rsid w:val="00BC4394"/>
    <w:rsid w:val="00BD456B"/>
    <w:rsid w:val="00C17A21"/>
    <w:rsid w:val="00C43068"/>
    <w:rsid w:val="00C44DF0"/>
    <w:rsid w:val="00C853CD"/>
    <w:rsid w:val="00C93E33"/>
    <w:rsid w:val="00CB4345"/>
    <w:rsid w:val="00CD6744"/>
    <w:rsid w:val="00CF163F"/>
    <w:rsid w:val="00D00898"/>
    <w:rsid w:val="00D9175C"/>
    <w:rsid w:val="00DD34E0"/>
    <w:rsid w:val="00DF0248"/>
    <w:rsid w:val="00DF1F09"/>
    <w:rsid w:val="00E52188"/>
    <w:rsid w:val="00E63E0E"/>
    <w:rsid w:val="00E7232E"/>
    <w:rsid w:val="00EE7FD2"/>
    <w:rsid w:val="00EF4FBA"/>
    <w:rsid w:val="00F072ED"/>
    <w:rsid w:val="00F3616D"/>
    <w:rsid w:val="00F73093"/>
    <w:rsid w:val="00F85942"/>
    <w:rsid w:val="00FB108C"/>
    <w:rsid w:val="00FC0A4C"/>
    <w:rsid w:val="00FD56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34E0"/>
  <w15:docId w15:val="{87E3A5FE-9A0A-48AB-B83B-490690B7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after="240"/>
      <w:ind w:right="600"/>
      <w:outlineLvl w:val="0"/>
    </w:pPr>
    <w:rPr>
      <w:sz w:val="26"/>
      <w:szCs w:val="26"/>
    </w:rPr>
  </w:style>
  <w:style w:type="paragraph" w:styleId="Ttulo2">
    <w:name w:val="heading 2"/>
    <w:basedOn w:val="Normal"/>
    <w:next w:val="Normal"/>
    <w:pPr>
      <w:keepNext/>
      <w:keepLines/>
      <w:spacing w:before="360" w:after="100"/>
      <w:jc w:val="both"/>
      <w:outlineLvl w:val="1"/>
    </w:pPr>
    <w:rPr>
      <w:b/>
      <w:sz w:val="28"/>
      <w:szCs w:val="28"/>
    </w:rPr>
  </w:style>
  <w:style w:type="paragraph" w:styleId="Ttulo3">
    <w:name w:val="heading 3"/>
    <w:basedOn w:val="Normal"/>
    <w:next w:val="Normal"/>
    <w:pPr>
      <w:keepNext/>
      <w:keepLines/>
      <w:spacing w:before="280" w:after="100"/>
      <w:jc w:val="both"/>
      <w:outlineLvl w:val="2"/>
    </w:pPr>
    <w:rPr>
      <w:b/>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C33A2"/>
    <w:pPr>
      <w:ind w:left="720"/>
      <w:contextualSpacing/>
    </w:pPr>
  </w:style>
  <w:style w:type="character" w:styleId="Refdecomentario">
    <w:name w:val="annotation reference"/>
    <w:basedOn w:val="Fuentedeprrafopredeter"/>
    <w:uiPriority w:val="99"/>
    <w:semiHidden/>
    <w:unhideWhenUsed/>
    <w:rsid w:val="00B62AC1"/>
    <w:rPr>
      <w:sz w:val="16"/>
      <w:szCs w:val="16"/>
    </w:rPr>
  </w:style>
  <w:style w:type="paragraph" w:styleId="Textocomentario">
    <w:name w:val="annotation text"/>
    <w:basedOn w:val="Normal"/>
    <w:link w:val="TextocomentarioCar"/>
    <w:uiPriority w:val="99"/>
    <w:unhideWhenUsed/>
    <w:rsid w:val="00B62AC1"/>
    <w:pPr>
      <w:spacing w:line="240" w:lineRule="auto"/>
    </w:pPr>
  </w:style>
  <w:style w:type="character" w:customStyle="1" w:styleId="TextocomentarioCar">
    <w:name w:val="Texto comentario Car"/>
    <w:basedOn w:val="Fuentedeprrafopredeter"/>
    <w:link w:val="Textocomentario"/>
    <w:uiPriority w:val="99"/>
    <w:rsid w:val="00B62AC1"/>
  </w:style>
  <w:style w:type="paragraph" w:styleId="Asuntodelcomentario">
    <w:name w:val="annotation subject"/>
    <w:basedOn w:val="Textocomentario"/>
    <w:next w:val="Textocomentario"/>
    <w:link w:val="AsuntodelcomentarioCar"/>
    <w:uiPriority w:val="99"/>
    <w:semiHidden/>
    <w:unhideWhenUsed/>
    <w:rsid w:val="00B62AC1"/>
    <w:rPr>
      <w:b/>
      <w:bCs/>
    </w:rPr>
  </w:style>
  <w:style w:type="character" w:customStyle="1" w:styleId="AsuntodelcomentarioCar">
    <w:name w:val="Asunto del comentario Car"/>
    <w:basedOn w:val="TextocomentarioCar"/>
    <w:link w:val="Asuntodelcomentario"/>
    <w:uiPriority w:val="99"/>
    <w:semiHidden/>
    <w:rsid w:val="00B62AC1"/>
    <w:rPr>
      <w:b/>
      <w:bCs/>
    </w:rPr>
  </w:style>
  <w:style w:type="paragraph" w:styleId="Textodeglobo">
    <w:name w:val="Balloon Text"/>
    <w:basedOn w:val="Normal"/>
    <w:link w:val="TextodegloboCar"/>
    <w:uiPriority w:val="99"/>
    <w:semiHidden/>
    <w:unhideWhenUsed/>
    <w:rsid w:val="00B62AC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AC1"/>
    <w:rPr>
      <w:rFonts w:ascii="Tahoma" w:hAnsi="Tahoma" w:cs="Tahoma"/>
      <w:sz w:val="16"/>
      <w:szCs w:val="16"/>
    </w:rPr>
  </w:style>
  <w:style w:type="paragraph" w:styleId="Textonotapie">
    <w:name w:val="footnote text"/>
    <w:basedOn w:val="Normal"/>
    <w:link w:val="TextonotapieCar"/>
    <w:uiPriority w:val="99"/>
    <w:semiHidden/>
    <w:unhideWhenUsed/>
    <w:rsid w:val="00B62AC1"/>
    <w:pPr>
      <w:spacing w:line="240" w:lineRule="auto"/>
    </w:pPr>
  </w:style>
  <w:style w:type="character" w:customStyle="1" w:styleId="TextonotapieCar">
    <w:name w:val="Texto nota pie Car"/>
    <w:basedOn w:val="Fuentedeprrafopredeter"/>
    <w:link w:val="Textonotapie"/>
    <w:uiPriority w:val="99"/>
    <w:semiHidden/>
    <w:rsid w:val="00B62AC1"/>
  </w:style>
  <w:style w:type="character" w:styleId="Refdenotaalpie">
    <w:name w:val="footnote reference"/>
    <w:basedOn w:val="Fuentedeprrafopredeter"/>
    <w:uiPriority w:val="99"/>
    <w:semiHidden/>
    <w:unhideWhenUsed/>
    <w:rsid w:val="00B62AC1"/>
    <w:rPr>
      <w:vertAlign w:val="superscript"/>
    </w:rPr>
  </w:style>
  <w:style w:type="paragraph" w:styleId="Revisin">
    <w:name w:val="Revision"/>
    <w:hidden/>
    <w:uiPriority w:val="99"/>
    <w:semiHidden/>
    <w:rsid w:val="00B3138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E083-1B03-40E4-994B-A9212C86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2917</Words>
  <Characters>16047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 Folle</dc:creator>
  <cp:lastModifiedBy>Ing. Julio César Delgado Arce</cp:lastModifiedBy>
  <cp:revision>10</cp:revision>
  <dcterms:created xsi:type="dcterms:W3CDTF">2025-05-14T15:24:00Z</dcterms:created>
  <dcterms:modified xsi:type="dcterms:W3CDTF">2025-05-26T16:46:00Z</dcterms:modified>
</cp:coreProperties>
</file>